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27A6" w14:textId="77777777" w:rsidR="00E05E19" w:rsidRPr="00AF236C" w:rsidRDefault="00E05E19" w:rsidP="00AF236C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F236C">
        <w:rPr>
          <w:rFonts w:ascii="Arial" w:eastAsia="Times New Roman" w:hAnsi="Arial" w:cs="Arial"/>
          <w:b/>
          <w:bCs/>
          <w:color w:val="000000"/>
          <w:sz w:val="20"/>
          <w:szCs w:val="20"/>
        </w:rPr>
        <w:t>Vysvetlenie informácií potrebných na vypracovanie ponuky</w:t>
      </w:r>
    </w:p>
    <w:p w14:paraId="2DFAEF8F" w14:textId="77777777" w:rsidR="00E05E19" w:rsidRPr="00AF236C" w:rsidRDefault="00E05E19" w:rsidP="00AF236C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EC51C24" w14:textId="77777777" w:rsidR="00E05E19" w:rsidRPr="00AF236C" w:rsidRDefault="00E05E19" w:rsidP="00AF236C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F236C">
        <w:rPr>
          <w:rFonts w:ascii="Arial" w:eastAsia="Times New Roman" w:hAnsi="Arial" w:cs="Arial"/>
          <w:b/>
          <w:bCs/>
          <w:color w:val="000000"/>
          <w:sz w:val="20"/>
          <w:szCs w:val="20"/>
        </w:rPr>
        <w:t>Vysvetlenie č. 3</w:t>
      </w:r>
    </w:p>
    <w:p w14:paraId="3AD546BA" w14:textId="77777777" w:rsidR="006F2348" w:rsidRPr="00AF236C" w:rsidRDefault="006F2348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3072982" w14:textId="77777777" w:rsidR="006F2348" w:rsidRPr="00AF236C" w:rsidRDefault="006F2348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4D03531" w14:textId="77777777" w:rsidR="006F2348" w:rsidRPr="00AF236C" w:rsidRDefault="006F2348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>Otázka č. 1:</w:t>
      </w:r>
      <w:r w:rsidRPr="00AF236C">
        <w:rPr>
          <w:rFonts w:ascii="Arial" w:hAnsi="Arial" w:cs="Arial"/>
          <w:sz w:val="20"/>
          <w:szCs w:val="20"/>
        </w:rPr>
        <w:t xml:space="preserve"> Prosíme o zverejnenie aktuálneho layoutu rozmiestnenia technologických zariadení, z ktorého je zrejmé rozmiestnenie a šírka komunikačných uličiek. Pokiaľ možno vo formáte dwg.</w:t>
      </w:r>
    </w:p>
    <w:p w14:paraId="22959842" w14:textId="77777777" w:rsidR="00E05E19" w:rsidRPr="00AF236C" w:rsidRDefault="00E05E19" w:rsidP="00AF236C">
      <w:pPr>
        <w:jc w:val="both"/>
        <w:rPr>
          <w:rFonts w:ascii="Arial" w:hAnsi="Arial" w:cs="Arial"/>
          <w:sz w:val="20"/>
          <w:szCs w:val="20"/>
        </w:rPr>
      </w:pPr>
    </w:p>
    <w:p w14:paraId="6979DE97" w14:textId="71DC4141" w:rsidR="00E05E19" w:rsidRPr="00AF236C" w:rsidRDefault="00E05E19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Odpoveď č. 1:  </w:t>
      </w:r>
      <w:r w:rsidR="00D97AF9" w:rsidRPr="004F407C">
        <w:rPr>
          <w:rFonts w:ascii="Arial" w:hAnsi="Arial" w:cs="Arial"/>
          <w:sz w:val="20"/>
          <w:szCs w:val="20"/>
        </w:rPr>
        <w:t>Z</w:t>
      </w:r>
      <w:r w:rsidR="00D97AF9">
        <w:rPr>
          <w:rFonts w:ascii="Arial" w:hAnsi="Arial" w:cs="Arial"/>
          <w:sz w:val="20"/>
          <w:szCs w:val="20"/>
        </w:rPr>
        <w:t xml:space="preserve"> dôvodu citlivosti uvedených informácií (trhová konkurencia) uvedené informácie nebudú zverejnené. </w:t>
      </w:r>
    </w:p>
    <w:p w14:paraId="035D35D4" w14:textId="77777777" w:rsidR="00E05E19" w:rsidRPr="00AF236C" w:rsidRDefault="00E05E19" w:rsidP="00AF236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9E6B9DE" w14:textId="77777777" w:rsidR="00E05E19" w:rsidRPr="00AF236C" w:rsidRDefault="00E05E19" w:rsidP="00AF23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sz w:val="20"/>
          <w:szCs w:val="20"/>
        </w:rPr>
        <w:t xml:space="preserve"> </w:t>
      </w:r>
      <w:r w:rsidRPr="00AF236C">
        <w:rPr>
          <w:rFonts w:ascii="Arial" w:hAnsi="Arial" w:cs="Arial"/>
          <w:b/>
          <w:bCs/>
          <w:sz w:val="20"/>
          <w:szCs w:val="20"/>
        </w:rPr>
        <w:t>Otázka č. 2:</w:t>
      </w:r>
      <w:r w:rsidRPr="00AF236C">
        <w:rPr>
          <w:rFonts w:ascii="Arial" w:hAnsi="Arial" w:cs="Arial"/>
          <w:sz w:val="20"/>
          <w:szCs w:val="20"/>
        </w:rPr>
        <w:t xml:space="preserve"> Vo Vysvetlení č.1 zo dňa 22.10.2020 vyhlasovateľ okrem iného odpovedal na otázku č. 6, či je potrebný svetelno-technický výpočet aj na kancelárske priestory, že postačuje spracovať jeden vzorový svetelno-technický výpočet pre daný veľkostný typ miestnosti. </w:t>
      </w:r>
    </w:p>
    <w:p w14:paraId="137547CD" w14:textId="77777777" w:rsidR="00E05E19" w:rsidRPr="00AF236C" w:rsidRDefault="00E05E19" w:rsidP="00AF23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sz w:val="20"/>
          <w:szCs w:val="20"/>
        </w:rPr>
        <w:t xml:space="preserve">Žiadame vyhlasovateľa o presné zadefinovanie, ktoré miestnosti (priestory) majú byť považované za vzorové a zadefinovanie ich rozmerov, keďže v dostupnej PD nie sú uvedené. </w:t>
      </w:r>
    </w:p>
    <w:p w14:paraId="15504842" w14:textId="77777777" w:rsidR="00E05E19" w:rsidRPr="00AF236C" w:rsidRDefault="00E05E19" w:rsidP="00AF236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3F0DC13" w14:textId="77777777" w:rsidR="00D97AF9" w:rsidRPr="004F407C" w:rsidRDefault="00E05E19" w:rsidP="004F407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Odpoveď č. 2:  </w:t>
      </w:r>
      <w:r w:rsidR="00D97AF9" w:rsidRPr="00072181">
        <w:rPr>
          <w:rFonts w:ascii="Arial" w:hAnsi="Arial" w:cs="Arial"/>
          <w:sz w:val="20"/>
          <w:szCs w:val="20"/>
        </w:rPr>
        <w:t>V prípade </w:t>
      </w:r>
      <w:r w:rsidR="00D97AF9">
        <w:rPr>
          <w:rFonts w:ascii="Arial" w:hAnsi="Arial" w:cs="Arial"/>
          <w:sz w:val="20"/>
          <w:szCs w:val="20"/>
        </w:rPr>
        <w:t xml:space="preserve">miestností (Stavba </w:t>
      </w:r>
      <w:r w:rsidR="00D97AF9" w:rsidRPr="0028612B">
        <w:rPr>
          <w:rFonts w:ascii="Arial" w:hAnsi="Arial" w:cs="Arial"/>
          <w:sz w:val="20"/>
          <w:szCs w:val="20"/>
        </w:rPr>
        <w:t xml:space="preserve">7.1.3. Rekonštrukcia osvetlenia na LED pre Hella Slovakia </w:t>
      </w:r>
      <w:r w:rsidR="00D97AF9">
        <w:rPr>
          <w:rFonts w:ascii="Arial" w:hAnsi="Arial" w:cs="Arial"/>
          <w:sz w:val="20"/>
          <w:szCs w:val="20"/>
        </w:rPr>
        <w:t>S</w:t>
      </w:r>
      <w:r w:rsidR="00D97AF9" w:rsidRPr="0028612B">
        <w:rPr>
          <w:rFonts w:ascii="Arial" w:hAnsi="Arial" w:cs="Arial"/>
          <w:sz w:val="20"/>
          <w:szCs w:val="20"/>
        </w:rPr>
        <w:t>ignal-Lighting</w:t>
      </w:r>
      <w:r w:rsidR="00D97AF9">
        <w:rPr>
          <w:rFonts w:ascii="Arial" w:hAnsi="Arial" w:cs="Arial"/>
          <w:sz w:val="20"/>
          <w:szCs w:val="20"/>
        </w:rPr>
        <w:t xml:space="preserve"> </w:t>
      </w:r>
      <w:r w:rsidR="00D97AF9" w:rsidRPr="0028612B">
        <w:rPr>
          <w:rFonts w:ascii="Arial" w:hAnsi="Arial" w:cs="Arial"/>
          <w:sz w:val="20"/>
          <w:szCs w:val="20"/>
        </w:rPr>
        <w:t>s.r.o., BnB v priestoroch kancelári</w:t>
      </w:r>
      <w:r w:rsidR="00D97AF9">
        <w:rPr>
          <w:rFonts w:ascii="Arial" w:hAnsi="Arial" w:cs="Arial"/>
          <w:sz w:val="20"/>
          <w:szCs w:val="20"/>
        </w:rPr>
        <w:t>í</w:t>
      </w:r>
      <w:r w:rsidR="00D97AF9" w:rsidRPr="0028612B">
        <w:rPr>
          <w:rFonts w:ascii="Arial" w:hAnsi="Arial" w:cs="Arial"/>
          <w:sz w:val="20"/>
          <w:szCs w:val="20"/>
        </w:rPr>
        <w:t xml:space="preserve"> a sociálnych priestoroch haly B01 B04</w:t>
      </w:r>
      <w:r w:rsidR="00D97AF9">
        <w:rPr>
          <w:rFonts w:ascii="Arial" w:hAnsi="Arial" w:cs="Arial"/>
          <w:sz w:val="20"/>
          <w:szCs w:val="20"/>
        </w:rPr>
        <w:t xml:space="preserve"> </w:t>
      </w:r>
      <w:r w:rsidR="00D97AF9" w:rsidRPr="0028612B">
        <w:rPr>
          <w:rFonts w:ascii="Arial" w:hAnsi="Arial" w:cs="Arial"/>
          <w:sz w:val="20"/>
          <w:szCs w:val="20"/>
        </w:rPr>
        <w:t>a B05</w:t>
      </w:r>
      <w:r w:rsidR="00D97AF9">
        <w:rPr>
          <w:rFonts w:ascii="Arial" w:hAnsi="Arial" w:cs="Arial"/>
          <w:sz w:val="20"/>
          <w:szCs w:val="20"/>
        </w:rPr>
        <w:t>.), uchádzač spracuje svetlo-technický výpočet pre všetky miestnosti. Táto odpoveď zároveň nahrádza odpoveď na otázku č. 6. v rámci Vysvetlenia č. 1 z 22.10.2020</w:t>
      </w:r>
    </w:p>
    <w:p w14:paraId="0A37A56A" w14:textId="77777777" w:rsidR="00E05E19" w:rsidRPr="004F407C" w:rsidRDefault="00E05E19" w:rsidP="00AF236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D4639A8" w14:textId="77777777" w:rsidR="00E05E19" w:rsidRPr="00AF236C" w:rsidRDefault="00E05E19" w:rsidP="00AF236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A1EB593" w14:textId="77777777" w:rsidR="00E05E19" w:rsidRPr="00AF236C" w:rsidRDefault="00E05E19" w:rsidP="00AF23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>Otázka č. 3:</w:t>
      </w:r>
      <w:r w:rsidRPr="00AF236C">
        <w:rPr>
          <w:rFonts w:ascii="Arial" w:hAnsi="Arial" w:cs="Arial"/>
          <w:sz w:val="20"/>
          <w:szCs w:val="20"/>
        </w:rPr>
        <w:t xml:space="preserve"> Vo Vysvetlení č.1 zo dňa 22.10.2020 vyhlasovateľ v odpovedi č. 8 uviedol, že je potrebný svetelno-technický výpočet v prípade, že uchádzač plánuje predložiť variantné riešenie pre vonkajšie osvetlenie. </w:t>
      </w:r>
    </w:p>
    <w:p w14:paraId="0728B68D" w14:textId="77777777" w:rsidR="00E05E19" w:rsidRPr="00AF236C" w:rsidRDefault="00E05E19" w:rsidP="00AF23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sz w:val="20"/>
          <w:szCs w:val="20"/>
        </w:rPr>
        <w:t>Žiadame vyhlasovateľa o zadefinovanie</w:t>
      </w:r>
      <w:r w:rsidRPr="00AF236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F236C">
        <w:rPr>
          <w:rFonts w:ascii="Arial" w:hAnsi="Arial" w:cs="Arial"/>
          <w:sz w:val="20"/>
          <w:szCs w:val="20"/>
        </w:rPr>
        <w:t xml:space="preserve">zadávacích parametrov pre vonkajšie osvetlenie, resp. vzorový svetelno-technický výpočet pre vonkajšie osvetlenie, tak ako napríklad pri výrobnej hale. </w:t>
      </w:r>
    </w:p>
    <w:p w14:paraId="3FEFF34C" w14:textId="77777777" w:rsidR="006E74A9" w:rsidRPr="00AF236C" w:rsidRDefault="00E05E19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sz w:val="20"/>
          <w:szCs w:val="20"/>
        </w:rPr>
        <w:t>V poskytnutej PD nie sú uvedené žiadne potrebné vzdialenosti/rozmery vonkajších plôch.</w:t>
      </w:r>
    </w:p>
    <w:p w14:paraId="73558DA9" w14:textId="77777777" w:rsidR="006F2348" w:rsidRPr="00AF236C" w:rsidRDefault="006F2348" w:rsidP="00AF236C">
      <w:pPr>
        <w:jc w:val="both"/>
        <w:rPr>
          <w:rFonts w:ascii="Arial" w:hAnsi="Arial" w:cs="Arial"/>
          <w:sz w:val="20"/>
          <w:szCs w:val="20"/>
        </w:rPr>
      </w:pPr>
    </w:p>
    <w:p w14:paraId="3428918B" w14:textId="77777777" w:rsidR="006C4B93" w:rsidRPr="004F407C" w:rsidRDefault="00E05E19" w:rsidP="004F407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>Odpoveď č. 3:</w:t>
      </w:r>
      <w:r w:rsidR="006C4B93" w:rsidRPr="006C4B93">
        <w:rPr>
          <w:b/>
          <w:bCs/>
          <w:color w:val="FF3333"/>
        </w:rPr>
        <w:t xml:space="preserve"> </w:t>
      </w:r>
      <w:r w:rsidR="006C4B93" w:rsidRPr="004F407C">
        <w:rPr>
          <w:rFonts w:ascii="Arial" w:hAnsi="Arial" w:cs="Arial"/>
          <w:sz w:val="20"/>
          <w:szCs w:val="20"/>
        </w:rPr>
        <w:t>Výpočet v zmysle vtedy platných STN EN 12464-2: 2015, TNI CEN/TR 13201-1:2015 a STN EN 13201-2:2017 a hlavne s prihliadnutím na to, že svetelné body sú dané, rovnako ako aj výšky. Z dokumentácie je jasné, že sa mení kus svietidla za kus. </w:t>
      </w:r>
    </w:p>
    <w:p w14:paraId="136452CC" w14:textId="77777777" w:rsidR="006C4B93" w:rsidRPr="004F407C" w:rsidRDefault="006C4B93" w:rsidP="004F407C">
      <w:pPr>
        <w:jc w:val="both"/>
        <w:rPr>
          <w:rFonts w:ascii="Arial" w:hAnsi="Arial" w:cs="Arial"/>
          <w:sz w:val="20"/>
          <w:szCs w:val="20"/>
        </w:rPr>
      </w:pPr>
      <w:r w:rsidRPr="004F407C">
        <w:rPr>
          <w:rFonts w:ascii="Arial" w:hAnsi="Arial" w:cs="Arial"/>
          <w:sz w:val="20"/>
          <w:szCs w:val="20"/>
        </w:rPr>
        <w:t>Rozmer vonkajších plôch je zrejmý z výkresu, ktorý je v mierke.</w:t>
      </w:r>
    </w:p>
    <w:p w14:paraId="474921E8" w14:textId="77777777" w:rsidR="00761F47" w:rsidRPr="00AF236C" w:rsidRDefault="00761F47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A69E1E" w14:textId="77777777" w:rsidR="00761F47" w:rsidRPr="00AF236C" w:rsidRDefault="00761F47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>Otážka č. 4:</w:t>
      </w:r>
      <w:r w:rsidRPr="00AF236C">
        <w:rPr>
          <w:rFonts w:ascii="Arial" w:hAnsi="Arial" w:cs="Arial"/>
          <w:sz w:val="20"/>
          <w:szCs w:val="20"/>
        </w:rPr>
        <w:t xml:space="preserve">  Vo výkaze výmere – list 7.1.1 hala B01 riadok 99-102 sa spomína medzi „Ostatný materiál a zariadenia“  položka „Oceľová konštrukcia všeobecná, vr. základného náteru“ a s tím súvisiace položky. Doposiaľ nikde sme nedokázali priradiť čo táto položka znamená keďže nieje spomenutá ani v opise predmetu zákazky.</w:t>
      </w:r>
    </w:p>
    <w:p w14:paraId="220CC0C3" w14:textId="77777777" w:rsidR="00761F47" w:rsidRPr="00AF236C" w:rsidRDefault="00761F47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4412C4" w14:textId="54770984" w:rsidR="00761F47" w:rsidRDefault="00761F47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Odpoveď č. 4: </w:t>
      </w:r>
      <w:r w:rsidR="006C4B93" w:rsidRPr="004F407C">
        <w:rPr>
          <w:rFonts w:ascii="Arial" w:hAnsi="Arial" w:cs="Arial"/>
          <w:sz w:val="20"/>
          <w:szCs w:val="20"/>
        </w:rPr>
        <w:t>Uvedená položka obsahuje bližšie nešpecifikované práce zámočníckeho charakteru</w:t>
      </w:r>
      <w:r w:rsidR="006C4B93">
        <w:rPr>
          <w:rFonts w:ascii="Arial" w:hAnsi="Arial" w:cs="Arial"/>
          <w:sz w:val="20"/>
          <w:szCs w:val="20"/>
        </w:rPr>
        <w:t>,</w:t>
      </w:r>
      <w:r w:rsidR="006C4B93" w:rsidRPr="004F407C">
        <w:rPr>
          <w:rFonts w:ascii="Arial" w:hAnsi="Arial" w:cs="Arial"/>
          <w:sz w:val="20"/>
          <w:szCs w:val="20"/>
        </w:rPr>
        <w:t xml:space="preserve"> ktoré projekt pri realizácii predpokladá, avšak nie je ich možné </w:t>
      </w:r>
      <w:r w:rsidR="00D12A81">
        <w:rPr>
          <w:rFonts w:ascii="Arial" w:hAnsi="Arial" w:cs="Arial"/>
          <w:sz w:val="20"/>
          <w:szCs w:val="20"/>
        </w:rPr>
        <w:t xml:space="preserve">ich detailne špecifikovať </w:t>
      </w:r>
      <w:r w:rsidR="006C4B93" w:rsidRPr="004F407C">
        <w:rPr>
          <w:rFonts w:ascii="Arial" w:hAnsi="Arial" w:cs="Arial"/>
          <w:sz w:val="20"/>
          <w:szCs w:val="20"/>
        </w:rPr>
        <w:t>pri spracovaní projektovej dokumentácie</w:t>
      </w:r>
      <w:r w:rsidR="00D12A81">
        <w:rPr>
          <w:rFonts w:ascii="Arial" w:hAnsi="Arial" w:cs="Arial"/>
          <w:sz w:val="20"/>
          <w:szCs w:val="20"/>
        </w:rPr>
        <w:t xml:space="preserve"> </w:t>
      </w:r>
      <w:r w:rsidR="006C4B93">
        <w:rPr>
          <w:rFonts w:ascii="Arial" w:hAnsi="Arial" w:cs="Arial"/>
          <w:sz w:val="20"/>
          <w:szCs w:val="20"/>
        </w:rPr>
        <w:t>(závisia od zvoleného technologického postupu Zhotoviteľa)</w:t>
      </w:r>
      <w:r w:rsidR="006C4B93" w:rsidRPr="004F407C">
        <w:rPr>
          <w:rFonts w:ascii="Arial" w:hAnsi="Arial" w:cs="Arial"/>
          <w:sz w:val="20"/>
          <w:szCs w:val="20"/>
        </w:rPr>
        <w:t>.</w:t>
      </w:r>
      <w:r w:rsidR="006C4B93">
        <w:rPr>
          <w:rFonts w:ascii="Arial" w:hAnsi="Arial" w:cs="Arial"/>
          <w:sz w:val="20"/>
          <w:szCs w:val="20"/>
        </w:rPr>
        <w:t xml:space="preserve"> </w:t>
      </w:r>
      <w:r w:rsidR="00D12A81">
        <w:rPr>
          <w:rFonts w:ascii="Arial" w:hAnsi="Arial" w:cs="Arial"/>
          <w:sz w:val="20"/>
          <w:szCs w:val="20"/>
        </w:rPr>
        <w:t xml:space="preserve">Platba za položku počas realizácie zmluvy o dielo bude vykonaná na základe skutočne vykonaných prác. </w:t>
      </w:r>
    </w:p>
    <w:p w14:paraId="2E90C8F6" w14:textId="77777777" w:rsidR="00D12A81" w:rsidRPr="00AF236C" w:rsidRDefault="00D12A81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37A6475" w14:textId="77777777" w:rsidR="00761F47" w:rsidRPr="00AF236C" w:rsidRDefault="00761F47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>Otázka č. 5:</w:t>
      </w:r>
      <w:r w:rsidRPr="00AF236C">
        <w:rPr>
          <w:rFonts w:ascii="Arial" w:hAnsi="Arial" w:cs="Arial"/>
          <w:sz w:val="20"/>
          <w:szCs w:val="20"/>
        </w:rPr>
        <w:t xml:space="preserve">  Vonkajšie osvetlenie sa nezhoduje s PD, keďže nesedí počet kusov v legende a výkaze výmere s výkresom a nieje vo výkrese nikde zaznačená výška stĺpov. V opise predmetu zákazky výška stávajúcich stĺpov je ale nevieme ich priradiť k PD nakoľko niesú nijako rozlíšené. Žiadame o uvedenie  jasného počtu svietidiel a výšky stĺpov.</w:t>
      </w:r>
    </w:p>
    <w:p w14:paraId="096C7CE0" w14:textId="77777777" w:rsidR="00761F47" w:rsidRPr="00AF236C" w:rsidRDefault="00761F47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FF62D6" w14:textId="75B4E990" w:rsidR="00761F47" w:rsidRPr="004F407C" w:rsidRDefault="00761F47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>Odpoveď č. 5:</w:t>
      </w:r>
      <w:r w:rsidR="00D12A81">
        <w:rPr>
          <w:rFonts w:ascii="Arial" w:hAnsi="Arial" w:cs="Arial"/>
          <w:b/>
          <w:bCs/>
          <w:sz w:val="20"/>
          <w:szCs w:val="20"/>
        </w:rPr>
        <w:t xml:space="preserve"> </w:t>
      </w:r>
      <w:r w:rsidR="00D12A81" w:rsidRPr="004F407C">
        <w:rPr>
          <w:rFonts w:ascii="Arial" w:hAnsi="Arial" w:cs="Arial"/>
          <w:sz w:val="20"/>
          <w:szCs w:val="20"/>
        </w:rPr>
        <w:t xml:space="preserve">Záväzné sú informácie v Projektovej </w:t>
      </w:r>
      <w:r w:rsidR="00D12A81" w:rsidRPr="00D12A81">
        <w:rPr>
          <w:rFonts w:ascii="Arial" w:hAnsi="Arial" w:cs="Arial"/>
          <w:sz w:val="20"/>
          <w:szCs w:val="20"/>
        </w:rPr>
        <w:t>dokumentácii</w:t>
      </w:r>
      <w:r w:rsidR="00D12A81">
        <w:rPr>
          <w:rFonts w:ascii="Arial" w:hAnsi="Arial" w:cs="Arial"/>
          <w:sz w:val="20"/>
          <w:szCs w:val="20"/>
        </w:rPr>
        <w:t xml:space="preserve">. </w:t>
      </w:r>
      <w:r w:rsidR="00EF45C2">
        <w:rPr>
          <w:rFonts w:ascii="Arial" w:hAnsi="Arial" w:cs="Arial"/>
          <w:sz w:val="20"/>
          <w:szCs w:val="20"/>
        </w:rPr>
        <w:t>Viď odpoveď na otázku č. 28</w:t>
      </w:r>
      <w:r w:rsidR="001D77C9">
        <w:rPr>
          <w:rFonts w:ascii="Arial" w:hAnsi="Arial" w:cs="Arial"/>
          <w:sz w:val="20"/>
          <w:szCs w:val="20"/>
        </w:rPr>
        <w:t xml:space="preserve"> nižšie</w:t>
      </w:r>
      <w:r w:rsidR="00EF45C2">
        <w:rPr>
          <w:rFonts w:ascii="Arial" w:hAnsi="Arial" w:cs="Arial"/>
          <w:sz w:val="20"/>
          <w:szCs w:val="20"/>
        </w:rPr>
        <w:t>.</w:t>
      </w:r>
    </w:p>
    <w:p w14:paraId="5D7F6DD4" w14:textId="77777777" w:rsidR="00761F47" w:rsidRPr="00AF236C" w:rsidRDefault="00761F47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CA53FCB" w14:textId="77777777" w:rsidR="00761F47" w:rsidRPr="00AF236C" w:rsidRDefault="00761F47" w:rsidP="00AF23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6 :  </w:t>
      </w:r>
      <w:r w:rsidRPr="00AF236C">
        <w:rPr>
          <w:rFonts w:ascii="Arial" w:hAnsi="Arial" w:cs="Arial"/>
          <w:sz w:val="20"/>
          <w:szCs w:val="20"/>
        </w:rPr>
        <w:t xml:space="preserve">V Prílohe_3_Navrh_zmluvy_o_dielo Súťažných podkladov (SP) v bode č. 2.6 je požadované, že objednávateľ zabezpečí okrem iného aj inžiniersku činnosť. </w:t>
      </w:r>
    </w:p>
    <w:p w14:paraId="6A8D5085" w14:textId="77777777" w:rsidR="00761F47" w:rsidRPr="00AF236C" w:rsidRDefault="00761F47" w:rsidP="00AF236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F236C">
        <w:rPr>
          <w:rFonts w:ascii="Arial" w:hAnsi="Arial" w:cs="Arial"/>
          <w:color w:val="000000"/>
          <w:sz w:val="20"/>
          <w:szCs w:val="20"/>
        </w:rPr>
        <w:t>Má Objednávateľ, ak je potrebné pre realizáciu predmetu zákazky, vydané právoplatné stavebné povolenie, resp. ohlásenie stavebných úprav?</w:t>
      </w:r>
    </w:p>
    <w:p w14:paraId="4A56EF3C" w14:textId="77777777" w:rsidR="00761F47" w:rsidRPr="00AF236C" w:rsidRDefault="00761F47" w:rsidP="00AF236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424A060" w14:textId="77777777" w:rsidR="00761F47" w:rsidRPr="00AF236C" w:rsidRDefault="00761F47" w:rsidP="00AF236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F236C">
        <w:rPr>
          <w:rFonts w:ascii="Arial" w:hAnsi="Arial" w:cs="Arial"/>
          <w:b/>
          <w:bCs/>
          <w:color w:val="000000"/>
          <w:sz w:val="20"/>
          <w:szCs w:val="20"/>
        </w:rPr>
        <w:t>Odpoveď 6:</w:t>
      </w:r>
      <w:r w:rsidR="00CA2913" w:rsidRPr="00AF236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F236C" w:rsidRPr="00AF236C">
        <w:rPr>
          <w:rFonts w:ascii="Arial" w:hAnsi="Arial" w:cs="Arial"/>
          <w:color w:val="000000"/>
          <w:sz w:val="20"/>
          <w:szCs w:val="20"/>
        </w:rPr>
        <w:t>Pre realizáciu predmetu zákazky nie je potrebné stavebné povolenie.</w:t>
      </w:r>
    </w:p>
    <w:p w14:paraId="0C29329C" w14:textId="77777777" w:rsidR="00761F47" w:rsidRPr="00AF236C" w:rsidRDefault="00761F47" w:rsidP="00AF236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8732D6" w14:textId="77777777" w:rsidR="00761F47" w:rsidRPr="00AF236C" w:rsidRDefault="00761F47" w:rsidP="00AF236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B5FD02" w14:textId="77777777" w:rsidR="00761F47" w:rsidRPr="00AF236C" w:rsidRDefault="00761F47" w:rsidP="00AF236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B7F139" w14:textId="77777777" w:rsidR="00761F47" w:rsidRPr="00AF236C" w:rsidRDefault="00761F47" w:rsidP="00AF23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7:  </w:t>
      </w:r>
      <w:r w:rsidRPr="00AF236C">
        <w:rPr>
          <w:rFonts w:ascii="Arial" w:hAnsi="Arial" w:cs="Arial"/>
          <w:sz w:val="20"/>
          <w:szCs w:val="20"/>
        </w:rPr>
        <w:t xml:space="preserve">V Prílohe_3_Navrh_zmluvy_o_dielo navrhujeme doplniť znenie bodu 2.8 o: ... ďalej všetky služby potrebné k naplneniu predmetu Diela alebo s tým súvisiace služby </w:t>
      </w:r>
      <w:r w:rsidRPr="00AF236C">
        <w:rPr>
          <w:rFonts w:ascii="Arial" w:hAnsi="Arial" w:cs="Arial"/>
          <w:b/>
          <w:bCs/>
          <w:sz w:val="20"/>
          <w:szCs w:val="20"/>
        </w:rPr>
        <w:t>okrem tých služieb a plnení, ktoré podľa Zmluvy zabezpečuje Objednávateľ; napríklad podľa bodu 2.6 Zmluvy</w:t>
      </w:r>
      <w:r w:rsidRPr="00AF236C">
        <w:rPr>
          <w:rFonts w:ascii="Arial" w:hAnsi="Arial" w:cs="Arial"/>
          <w:sz w:val="20"/>
          <w:szCs w:val="20"/>
        </w:rPr>
        <w:t>.</w:t>
      </w:r>
    </w:p>
    <w:p w14:paraId="3FADD3BA" w14:textId="77777777" w:rsidR="00761F47" w:rsidRPr="00AF236C" w:rsidRDefault="00761F47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AA04D02" w14:textId="77777777" w:rsidR="00761F47" w:rsidRPr="004F407C" w:rsidRDefault="00761F47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Odpoveď č.7: </w:t>
      </w:r>
      <w:r w:rsidR="00CD03BF" w:rsidRPr="004F407C">
        <w:rPr>
          <w:rFonts w:ascii="Arial" w:hAnsi="Arial" w:cs="Arial"/>
          <w:sz w:val="20"/>
          <w:szCs w:val="20"/>
        </w:rPr>
        <w:t>Bola upravená Príloha č. 3 Návrh zmluvy o</w:t>
      </w:r>
      <w:r w:rsidR="0038074E">
        <w:rPr>
          <w:rFonts w:ascii="Arial" w:hAnsi="Arial" w:cs="Arial"/>
          <w:sz w:val="20"/>
          <w:szCs w:val="20"/>
        </w:rPr>
        <w:t> </w:t>
      </w:r>
      <w:r w:rsidR="00CD03BF" w:rsidRPr="004F407C">
        <w:rPr>
          <w:rFonts w:ascii="Arial" w:hAnsi="Arial" w:cs="Arial"/>
          <w:sz w:val="20"/>
          <w:szCs w:val="20"/>
        </w:rPr>
        <w:t>dielo</w:t>
      </w:r>
      <w:r w:rsidR="0038074E">
        <w:rPr>
          <w:rFonts w:ascii="Arial" w:hAnsi="Arial" w:cs="Arial"/>
          <w:sz w:val="20"/>
          <w:szCs w:val="20"/>
        </w:rPr>
        <w:t>, viď. doplnenie Prílohy č. 3 Návrh zmluvy o dielo.</w:t>
      </w:r>
    </w:p>
    <w:p w14:paraId="7F07A2A1" w14:textId="77777777" w:rsidR="00761F47" w:rsidRPr="00AF236C" w:rsidRDefault="00761F47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2F70122" w14:textId="77777777" w:rsidR="00761F47" w:rsidRPr="00AF236C" w:rsidRDefault="00761F47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8F35EED" w14:textId="77777777" w:rsidR="00761F47" w:rsidRPr="00AF236C" w:rsidRDefault="00761F47" w:rsidP="00AF23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8:  </w:t>
      </w:r>
      <w:r w:rsidRPr="00AF236C">
        <w:rPr>
          <w:rFonts w:ascii="Arial" w:hAnsi="Arial" w:cs="Arial"/>
          <w:sz w:val="20"/>
          <w:szCs w:val="20"/>
        </w:rPr>
        <w:t xml:space="preserve">V súvislosti s bodom 4.4 v Prílohe_3_Navrh_zmluvy_o_dielo, žiadame obstarávateľa </w:t>
      </w:r>
      <w:r w:rsidRPr="00AF236C">
        <w:rPr>
          <w:rFonts w:ascii="Arial" w:hAnsi="Arial" w:cs="Arial"/>
          <w:b/>
          <w:bCs/>
          <w:sz w:val="20"/>
          <w:szCs w:val="20"/>
        </w:rPr>
        <w:t>o zadefinovanie začiatku a konca prevádzky</w:t>
      </w:r>
      <w:r w:rsidRPr="00AF236C">
        <w:rPr>
          <w:rFonts w:ascii="Arial" w:hAnsi="Arial" w:cs="Arial"/>
          <w:sz w:val="20"/>
          <w:szCs w:val="20"/>
        </w:rPr>
        <w:t>. Má to súvis so zmluvnou pokutou podľa bodu 14.1.2 Zmluvy, ktorá je naviazaná na obmedzenie prevádzky.</w:t>
      </w:r>
    </w:p>
    <w:p w14:paraId="6B8D8150" w14:textId="77777777" w:rsidR="00761F47" w:rsidRPr="00AF236C" w:rsidRDefault="00761F47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EA6C463" w14:textId="77777777" w:rsidR="00D12A81" w:rsidRDefault="0057531C" w:rsidP="00D12A81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>Odpoveď č. 8:</w:t>
      </w:r>
      <w:r w:rsidR="00D12A81" w:rsidRPr="00D12A81">
        <w:rPr>
          <w:rFonts w:ascii="Arial" w:hAnsi="Arial" w:cs="Arial"/>
          <w:sz w:val="20"/>
          <w:szCs w:val="20"/>
        </w:rPr>
        <w:t xml:space="preserve"> </w:t>
      </w:r>
      <w:r w:rsidR="00D12A81" w:rsidRPr="000F3765">
        <w:rPr>
          <w:rFonts w:ascii="Arial" w:hAnsi="Arial" w:cs="Arial"/>
          <w:sz w:val="20"/>
          <w:szCs w:val="20"/>
        </w:rPr>
        <w:t>Zhotoviteľ je povinný postupovať pri zhotovovaní diela tak, aby nebola ohrozená prevádzka výrobnej haly a areálu. Za účelom vykonania d</w:t>
      </w:r>
      <w:r w:rsidR="00D12A81">
        <w:rPr>
          <w:rFonts w:ascii="Arial" w:hAnsi="Arial" w:cs="Arial"/>
          <w:sz w:val="20"/>
          <w:szCs w:val="20"/>
        </w:rPr>
        <w:t>i</w:t>
      </w:r>
      <w:r w:rsidR="00D12A81" w:rsidRPr="000F3765">
        <w:rPr>
          <w:rFonts w:ascii="Arial" w:hAnsi="Arial" w:cs="Arial"/>
          <w:sz w:val="20"/>
          <w:szCs w:val="20"/>
        </w:rPr>
        <w:t xml:space="preserve">ela zhotoviteľom bez obmedzovania prevádzky výrobnej haly a areálu je zhotoviteľ povinný vykonávať práce, ktoré by mohli mať vplyv na prevádzku výrobnej haly a areálu, najmä v čase pred začatím a po skončení dennej prevádzky vo výrobnej hale a areáli a počas víkendov a sviatkov. </w:t>
      </w:r>
    </w:p>
    <w:p w14:paraId="4EC8DA36" w14:textId="77777777" w:rsidR="00D12A81" w:rsidRPr="000F3765" w:rsidRDefault="00D12A81" w:rsidP="00D12A81">
      <w:pPr>
        <w:jc w:val="both"/>
        <w:rPr>
          <w:rFonts w:ascii="Arial" w:hAnsi="Arial" w:cs="Arial"/>
          <w:sz w:val="20"/>
          <w:szCs w:val="20"/>
        </w:rPr>
      </w:pPr>
    </w:p>
    <w:p w14:paraId="0A683811" w14:textId="77777777" w:rsidR="00D12A81" w:rsidRDefault="00D12A81" w:rsidP="00D12A81">
      <w:pPr>
        <w:jc w:val="both"/>
        <w:rPr>
          <w:rFonts w:ascii="Arial" w:hAnsi="Arial" w:cs="Arial"/>
          <w:sz w:val="20"/>
          <w:szCs w:val="20"/>
        </w:rPr>
      </w:pPr>
      <w:r w:rsidRPr="000F3765">
        <w:rPr>
          <w:rFonts w:ascii="Arial" w:hAnsi="Arial" w:cs="Arial"/>
          <w:sz w:val="20"/>
          <w:szCs w:val="20"/>
        </w:rPr>
        <w:t xml:space="preserve">Z uvedeného vyplýva, že (najmä) v čase pred začatím a po skončení dennej prevádzky je zhotoviteľ povinný vykonávať iba tie práce, ktoré by mohli mať vplyv na prevádzku.  V prípade, že práce nebudú ovplyvňovať prevádzku, je možné ich vykonávať v pracovných dňoch od 6:00 – 18:00 hod. </w:t>
      </w:r>
    </w:p>
    <w:p w14:paraId="5B3B8D9C" w14:textId="77777777" w:rsidR="00D12A81" w:rsidRDefault="00D12A81" w:rsidP="00D12A81">
      <w:pPr>
        <w:jc w:val="both"/>
        <w:rPr>
          <w:rFonts w:ascii="Arial" w:hAnsi="Arial" w:cs="Arial"/>
          <w:sz w:val="20"/>
          <w:szCs w:val="20"/>
        </w:rPr>
      </w:pPr>
    </w:p>
    <w:p w14:paraId="16B484AC" w14:textId="77777777" w:rsidR="00D12A81" w:rsidRDefault="00D12A81" w:rsidP="00D12A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Nakoľko v priestoroch výrobnej haly a areálu prebieha nepretržitá 24 hodinová prevádzka, po predchádzajúcej dohode s vyhlasovateľom je možné práce vykonávať i v čase medzi 18:00 – 6:00 hod.</w:t>
      </w:r>
    </w:p>
    <w:p w14:paraId="4584AEB1" w14:textId="77777777" w:rsidR="0057531C" w:rsidRPr="00AF236C" w:rsidRDefault="0057531C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E2E9398" w14:textId="77777777" w:rsidR="0057531C" w:rsidRPr="00AF236C" w:rsidRDefault="0057531C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BE0F926" w14:textId="77777777" w:rsidR="0057531C" w:rsidRPr="00AF236C" w:rsidRDefault="0057531C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9 :  </w:t>
      </w:r>
      <w:r w:rsidRPr="00AF236C">
        <w:rPr>
          <w:rFonts w:ascii="Arial" w:hAnsi="Arial" w:cs="Arial"/>
          <w:sz w:val="20"/>
          <w:szCs w:val="20"/>
        </w:rPr>
        <w:t>V bode 4.10 je uvedené okrem iného aj ... V prípade, že Zhotoviteľ nevykoná riadne alebo včas opatrenia v zmysle predchádzajúcej vety tohto bodu, je Objednávateľ oprávnený poveriť vykonaním Diela alebo jeho časti iného zhotoviteľa, a to na náklady Zhotoviteľa (účelné alebo nevyhnutne vynaložené náklady).</w:t>
      </w:r>
    </w:p>
    <w:p w14:paraId="70C2F2DB" w14:textId="77777777" w:rsidR="0057531C" w:rsidRPr="00AF236C" w:rsidRDefault="0057531C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sz w:val="20"/>
          <w:szCs w:val="20"/>
        </w:rPr>
        <w:t>Odôvodnenie: Toto dojednanie je v konflikte s účelom verejne obstarávaných zmlúv – ktorým je</w:t>
      </w:r>
    </w:p>
    <w:p w14:paraId="01EBA36A" w14:textId="77777777" w:rsidR="0057531C" w:rsidRPr="00AF236C" w:rsidRDefault="0057531C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sz w:val="20"/>
          <w:szCs w:val="20"/>
        </w:rPr>
        <w:t>nutnosť, aby výber zhotoviteľa prebehol spôsobom podľa predpísaných pravidiel obstarávania.</w:t>
      </w:r>
    </w:p>
    <w:p w14:paraId="47E8C3B1" w14:textId="77777777" w:rsidR="0057531C" w:rsidRPr="00AF236C" w:rsidRDefault="0057531C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sz w:val="20"/>
          <w:szCs w:val="20"/>
        </w:rPr>
        <w:t>Rozumieme účelu ustanovenia pokryť potenciálny výpadok zhotoviteľa inými kapacitami na náklady</w:t>
      </w:r>
    </w:p>
    <w:p w14:paraId="47A84142" w14:textId="77777777" w:rsidR="0057531C" w:rsidRPr="00AF236C" w:rsidRDefault="0057531C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sz w:val="20"/>
          <w:szCs w:val="20"/>
        </w:rPr>
        <w:t>zhotoviteľa, ale (i) mohlo by sa to priečiť, resp. by to obchádzalo účel verejného obstarávania ako</w:t>
      </w:r>
    </w:p>
    <w:p w14:paraId="1CDC574C" w14:textId="77777777" w:rsidR="0057531C" w:rsidRPr="00AF236C" w:rsidRDefault="0057531C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sz w:val="20"/>
          <w:szCs w:val="20"/>
        </w:rPr>
        <w:t>takého a (ii) zároveň je textácia ustanovenie veľmi široká – obsahuje totiž formuláciu, že ak</w:t>
      </w:r>
    </w:p>
    <w:p w14:paraId="4C0DBBAD" w14:textId="77777777" w:rsidR="0057531C" w:rsidRPr="00AF236C" w:rsidRDefault="0057531C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sz w:val="20"/>
          <w:szCs w:val="20"/>
        </w:rPr>
        <w:t>Zhotoviteľ nezjedná nápravu – neprijme dostatočné opatrenia – tak Objednávateľ môže zadať Dielo</w:t>
      </w:r>
    </w:p>
    <w:p w14:paraId="45E5B71C" w14:textId="77777777" w:rsidR="0057531C" w:rsidRPr="00AF236C" w:rsidRDefault="0057531C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sz w:val="20"/>
          <w:szCs w:val="20"/>
        </w:rPr>
        <w:t>niekomu inému.</w:t>
      </w:r>
    </w:p>
    <w:p w14:paraId="18AE9028" w14:textId="77777777" w:rsidR="0057531C" w:rsidRPr="00AF236C" w:rsidRDefault="0057531C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sz w:val="20"/>
          <w:szCs w:val="20"/>
        </w:rPr>
        <w:t>Z toho dôvodu navrhujeme úpravu, aby sa možnosť zadať tieto práce externe vzťahovala nie na</w:t>
      </w:r>
    </w:p>
    <w:p w14:paraId="7BDCFFFB" w14:textId="77777777" w:rsidR="0057531C" w:rsidRPr="00AF236C" w:rsidRDefault="0057531C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sz w:val="20"/>
          <w:szCs w:val="20"/>
        </w:rPr>
        <w:t>Dielo ako také, ale na potrebné primerané opatrenia</w:t>
      </w:r>
    </w:p>
    <w:p w14:paraId="68553BE3" w14:textId="77777777" w:rsidR="00761F47" w:rsidRPr="00AF236C" w:rsidRDefault="00761F47" w:rsidP="00AF236C">
      <w:pPr>
        <w:jc w:val="both"/>
        <w:rPr>
          <w:rFonts w:ascii="Arial" w:hAnsi="Arial" w:cs="Arial"/>
          <w:sz w:val="20"/>
          <w:szCs w:val="20"/>
        </w:rPr>
      </w:pPr>
    </w:p>
    <w:p w14:paraId="51AC4009" w14:textId="67E3EF4A" w:rsidR="00761F47" w:rsidRPr="00AF236C" w:rsidRDefault="0057531C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Odpoveď č. 9:  </w:t>
      </w:r>
      <w:r w:rsidR="00E31121">
        <w:rPr>
          <w:rFonts w:ascii="Arial" w:hAnsi="Arial" w:cs="Arial"/>
          <w:sz w:val="20"/>
          <w:szCs w:val="20"/>
        </w:rPr>
        <w:t>D</w:t>
      </w:r>
      <w:r w:rsidR="0000385D" w:rsidRPr="004F407C">
        <w:rPr>
          <w:rFonts w:ascii="Arial" w:hAnsi="Arial" w:cs="Arial"/>
          <w:sz w:val="20"/>
          <w:szCs w:val="20"/>
        </w:rPr>
        <w:t xml:space="preserve">ojednanie </w:t>
      </w:r>
      <w:r w:rsidR="0000385D">
        <w:rPr>
          <w:rFonts w:ascii="Arial" w:hAnsi="Arial" w:cs="Arial"/>
          <w:sz w:val="20"/>
          <w:szCs w:val="20"/>
        </w:rPr>
        <w:t xml:space="preserve">považujeme za primerané. </w:t>
      </w:r>
      <w:r w:rsidR="00E31121">
        <w:rPr>
          <w:rFonts w:ascii="Arial" w:hAnsi="Arial" w:cs="Arial"/>
          <w:sz w:val="20"/>
          <w:szCs w:val="20"/>
        </w:rPr>
        <w:t>Dojednanie n</w:t>
      </w:r>
      <w:r w:rsidR="0000385D">
        <w:rPr>
          <w:rFonts w:ascii="Arial" w:hAnsi="Arial" w:cs="Arial"/>
          <w:sz w:val="20"/>
          <w:szCs w:val="20"/>
        </w:rPr>
        <w:t xml:space="preserve">epovažujeme za ,,v konflikte s účelom verejne obstarávaných zmlúv“ nakoľko uvedené ustanovenie </w:t>
      </w:r>
      <w:r w:rsidR="00E31121">
        <w:rPr>
          <w:rFonts w:ascii="Arial" w:hAnsi="Arial" w:cs="Arial"/>
          <w:sz w:val="20"/>
          <w:szCs w:val="20"/>
        </w:rPr>
        <w:t xml:space="preserve">o. i. </w:t>
      </w:r>
      <w:r w:rsidR="0000385D">
        <w:rPr>
          <w:rFonts w:ascii="Arial" w:hAnsi="Arial" w:cs="Arial"/>
          <w:sz w:val="20"/>
          <w:szCs w:val="20"/>
        </w:rPr>
        <w:t>nerieši procesný postup akým spôsobom bude určený iný zhotoviteľ</w:t>
      </w:r>
      <w:r w:rsidR="00E31121">
        <w:rPr>
          <w:rFonts w:ascii="Arial" w:hAnsi="Arial" w:cs="Arial"/>
          <w:sz w:val="20"/>
          <w:szCs w:val="20"/>
        </w:rPr>
        <w:t xml:space="preserve">. Článok ustanovuje právo poveriť vykonávaním Diela alebo jeho časti iného zhotoviteľa a popisuje skutočnosť, kedy k takejto situácii môže dôjsť. Uvedené ustanovenie je zmluvným ustanovením, ktoré chráni oprávnené záujmy Objednávateľa v prípade, že </w:t>
      </w:r>
      <w:r w:rsidR="0000385D" w:rsidRPr="00E80DFB">
        <w:rPr>
          <w:rFonts w:ascii="Arial" w:hAnsi="Arial" w:cs="Arial"/>
          <w:sz w:val="20"/>
          <w:szCs w:val="20"/>
        </w:rPr>
        <w:t xml:space="preserve">Zhotoviteľ nevykoná riadne alebo včas </w:t>
      </w:r>
      <w:r w:rsidR="00E31121">
        <w:rPr>
          <w:rFonts w:ascii="Arial" w:hAnsi="Arial" w:cs="Arial"/>
          <w:sz w:val="20"/>
          <w:szCs w:val="20"/>
        </w:rPr>
        <w:t xml:space="preserve">príslušné </w:t>
      </w:r>
      <w:r w:rsidR="0000385D" w:rsidRPr="00E80DFB">
        <w:rPr>
          <w:rFonts w:ascii="Arial" w:hAnsi="Arial" w:cs="Arial"/>
          <w:sz w:val="20"/>
          <w:szCs w:val="20"/>
        </w:rPr>
        <w:t>opatrenia</w:t>
      </w:r>
      <w:r w:rsidR="00E31121">
        <w:rPr>
          <w:rFonts w:ascii="Arial" w:hAnsi="Arial" w:cs="Arial"/>
          <w:sz w:val="20"/>
          <w:szCs w:val="20"/>
        </w:rPr>
        <w:t xml:space="preserve"> v zmysle dikcie uvedeného zmluvného ustanovenia.</w:t>
      </w:r>
      <w:r w:rsidR="0000385D" w:rsidRPr="00E80DFB">
        <w:rPr>
          <w:rFonts w:ascii="Arial" w:hAnsi="Arial" w:cs="Arial"/>
          <w:sz w:val="20"/>
          <w:szCs w:val="20"/>
        </w:rPr>
        <w:t xml:space="preserve"> </w:t>
      </w:r>
    </w:p>
    <w:p w14:paraId="58217342" w14:textId="77777777" w:rsidR="0057531C" w:rsidRPr="00AF236C" w:rsidRDefault="0057531C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64F8A97" w14:textId="77777777" w:rsidR="0057531C" w:rsidRPr="00AF236C" w:rsidRDefault="0057531C" w:rsidP="00AF23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10:  </w:t>
      </w:r>
      <w:r w:rsidRPr="00AF236C">
        <w:rPr>
          <w:rFonts w:ascii="Arial" w:hAnsi="Arial" w:cs="Arial"/>
          <w:sz w:val="20"/>
          <w:szCs w:val="20"/>
        </w:rPr>
        <w:t xml:space="preserve">V bode 5.1 Návrhu Zmluvy o dielo navrhujeme zmenu znenia z pôvodného: </w:t>
      </w:r>
    </w:p>
    <w:p w14:paraId="04846DA5" w14:textId="77777777" w:rsidR="0057531C" w:rsidRPr="00AF236C" w:rsidRDefault="0057531C" w:rsidP="00AF23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F236C">
        <w:rPr>
          <w:rFonts w:ascii="Arial" w:hAnsi="Arial" w:cs="Arial"/>
          <w:color w:val="000000"/>
          <w:sz w:val="20"/>
          <w:szCs w:val="20"/>
        </w:rPr>
        <w:t xml:space="preserve">Vlastníkom predmetu Diela i jeho zhotovených častí je Zhotoviteľ, ktorý vystupuje vo vzťahu k tretím osobám ako stavebník v zmysle príslušných právnych predpisov nakoľko Dielo v zmysle dohody Zmluvných strán realizuje vo svojom mene a na svoje náklady. </w:t>
      </w:r>
    </w:p>
    <w:p w14:paraId="676EFB8D" w14:textId="77777777" w:rsidR="0057531C" w:rsidRPr="00AF236C" w:rsidRDefault="0057531C" w:rsidP="00AF23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F236C">
        <w:rPr>
          <w:rFonts w:ascii="Arial" w:hAnsi="Arial" w:cs="Arial"/>
          <w:color w:val="000000"/>
          <w:sz w:val="20"/>
          <w:szCs w:val="20"/>
        </w:rPr>
        <w:t xml:space="preserve">Na: </w:t>
      </w:r>
    </w:p>
    <w:p w14:paraId="27B53B4C" w14:textId="77777777" w:rsidR="0057531C" w:rsidRPr="00AF236C" w:rsidRDefault="0057531C" w:rsidP="00AF23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F236C">
        <w:rPr>
          <w:rFonts w:ascii="Arial" w:hAnsi="Arial" w:cs="Arial"/>
          <w:b/>
          <w:bCs/>
          <w:color w:val="000000"/>
          <w:sz w:val="20"/>
          <w:szCs w:val="20"/>
        </w:rPr>
        <w:t xml:space="preserve">Vlastníkom predmetu Diela i jeho zhotovených častí je Zhotoviteľ, až do prevodu vlastníckeho práva na Objednávateľa. </w:t>
      </w:r>
    </w:p>
    <w:p w14:paraId="6EB09BBD" w14:textId="77777777" w:rsidR="0057531C" w:rsidRPr="00AF236C" w:rsidRDefault="0057531C" w:rsidP="00AF23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F236C">
        <w:rPr>
          <w:rFonts w:ascii="Arial" w:hAnsi="Arial" w:cs="Arial"/>
          <w:b/>
          <w:bCs/>
          <w:color w:val="000000"/>
          <w:sz w:val="20"/>
          <w:szCs w:val="20"/>
        </w:rPr>
        <w:t xml:space="preserve">Odôvodnenie: </w:t>
      </w:r>
      <w:r w:rsidRPr="00AF236C">
        <w:rPr>
          <w:rFonts w:ascii="Arial" w:hAnsi="Arial" w:cs="Arial"/>
          <w:color w:val="000000"/>
          <w:sz w:val="20"/>
          <w:szCs w:val="20"/>
        </w:rPr>
        <w:t xml:space="preserve">Zhotoviteľ takéto osobitné práva nemá a stavba ani nebude slúžiť Zhotoviteľovi ale Objednávateľovi. T. j. stavebníkom nie je ten kto stavbu zhotovuje fyzicky ale ten, kto si stavbu zhotovovať dáva, a koho stavba je. Skutočnosť, že Zhotoviteľ vykonáva práce vo vlastnom mene a na </w:t>
      </w:r>
      <w:r w:rsidRPr="00AF236C">
        <w:rPr>
          <w:rFonts w:ascii="Arial" w:hAnsi="Arial" w:cs="Arial"/>
          <w:color w:val="000000"/>
          <w:sz w:val="20"/>
          <w:szCs w:val="20"/>
        </w:rPr>
        <w:lastRenderedPageBreak/>
        <w:t xml:space="preserve">vlastnú zodpovednosť neznamená, že je stavebníkom – to definuje postavenie a rozsah zodpovednosti voči Objednávateľovi. </w:t>
      </w:r>
    </w:p>
    <w:p w14:paraId="0853864B" w14:textId="77777777" w:rsidR="0057531C" w:rsidRPr="00AF236C" w:rsidRDefault="0057531C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236C">
        <w:rPr>
          <w:rFonts w:ascii="Arial" w:hAnsi="Arial" w:cs="Arial"/>
          <w:color w:val="000000"/>
          <w:sz w:val="20"/>
          <w:szCs w:val="20"/>
        </w:rPr>
        <w:t>Rovnako tiež označenie Zhotoviteľa ako stavebníka koliduje s povinnosťou Objednávateľa držať zodpovednosť za záväznú projektovú dokumentáciu a povinnosťou zabezpečiť inžiniersku činnosť potrebnú k realizácii Diela podľa bodu 2.6 Zmluvy.</w:t>
      </w:r>
    </w:p>
    <w:p w14:paraId="07539CA1" w14:textId="77777777" w:rsidR="00761F47" w:rsidRPr="00AF236C" w:rsidRDefault="00761F47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AC7480" w14:textId="77777777" w:rsidR="0038074E" w:rsidRPr="00BF5B61" w:rsidRDefault="0057531C" w:rsidP="0038074E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>Odpoveď č. 10:</w:t>
      </w:r>
      <w:r w:rsidR="00CA2913" w:rsidRPr="00AF236C">
        <w:rPr>
          <w:rFonts w:ascii="Arial" w:hAnsi="Arial" w:cs="Arial"/>
          <w:b/>
          <w:bCs/>
          <w:sz w:val="20"/>
          <w:szCs w:val="20"/>
        </w:rPr>
        <w:t xml:space="preserve"> </w:t>
      </w:r>
      <w:r w:rsidR="0038074E" w:rsidRPr="00BF5B61">
        <w:rPr>
          <w:rFonts w:ascii="Arial" w:hAnsi="Arial" w:cs="Arial"/>
          <w:sz w:val="20"/>
          <w:szCs w:val="20"/>
        </w:rPr>
        <w:t>Bola upravená Príloha č. 3 Návrh zmluvy o</w:t>
      </w:r>
      <w:r w:rsidR="0038074E">
        <w:rPr>
          <w:rFonts w:ascii="Arial" w:hAnsi="Arial" w:cs="Arial"/>
          <w:sz w:val="20"/>
          <w:szCs w:val="20"/>
        </w:rPr>
        <w:t> </w:t>
      </w:r>
      <w:r w:rsidR="0038074E" w:rsidRPr="00BF5B61">
        <w:rPr>
          <w:rFonts w:ascii="Arial" w:hAnsi="Arial" w:cs="Arial"/>
          <w:sz w:val="20"/>
          <w:szCs w:val="20"/>
        </w:rPr>
        <w:t>dielo</w:t>
      </w:r>
      <w:r w:rsidR="0038074E">
        <w:rPr>
          <w:rFonts w:ascii="Arial" w:hAnsi="Arial" w:cs="Arial"/>
          <w:sz w:val="20"/>
          <w:szCs w:val="20"/>
        </w:rPr>
        <w:t>, viď. doplnenie Prílohy č. 3 Návrh zmluvy o dielo.</w:t>
      </w:r>
    </w:p>
    <w:p w14:paraId="4BFE2C30" w14:textId="2E5FCCF0" w:rsidR="0057531C" w:rsidRPr="00AF236C" w:rsidRDefault="0057531C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DE470F7" w14:textId="77777777" w:rsidR="0057531C" w:rsidRPr="00AF236C" w:rsidRDefault="0057531C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FCEB3DC" w14:textId="77777777" w:rsidR="0057531C" w:rsidRPr="00AF236C" w:rsidRDefault="0057531C" w:rsidP="00AF23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11:  </w:t>
      </w:r>
      <w:r w:rsidRPr="00AF236C">
        <w:rPr>
          <w:rFonts w:ascii="Arial" w:hAnsi="Arial" w:cs="Arial"/>
          <w:sz w:val="20"/>
          <w:szCs w:val="20"/>
        </w:rPr>
        <w:t xml:space="preserve">V bode 5.3 Návrhu Zmluvy o dielo žiadame vypustiť vetu: </w:t>
      </w:r>
    </w:p>
    <w:p w14:paraId="77D6C9C6" w14:textId="77777777" w:rsidR="0057531C" w:rsidRPr="00AF236C" w:rsidRDefault="0057531C" w:rsidP="00AF23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F236C">
        <w:rPr>
          <w:rFonts w:ascii="Arial" w:hAnsi="Arial" w:cs="Arial"/>
          <w:color w:val="000000"/>
          <w:sz w:val="20"/>
          <w:szCs w:val="20"/>
        </w:rPr>
        <w:t xml:space="preserve">„Objednávateľ je oprávnený dať Zhotoviteľovi záväzný pokyn, aby Zhotoviteľ pri vykonávaní Diela použil výrobky určené Objednávateľom a Zhotoviteľ je povinný tento pokyn splniť.“ </w:t>
      </w:r>
    </w:p>
    <w:p w14:paraId="06079C61" w14:textId="77777777" w:rsidR="0057531C" w:rsidRPr="00AF236C" w:rsidRDefault="0057531C" w:rsidP="00AF23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F236C">
        <w:rPr>
          <w:rFonts w:ascii="Arial" w:hAnsi="Arial" w:cs="Arial"/>
          <w:b/>
          <w:bCs/>
          <w:color w:val="000000"/>
          <w:sz w:val="20"/>
          <w:szCs w:val="20"/>
        </w:rPr>
        <w:t xml:space="preserve">Odôvodnenie: </w:t>
      </w:r>
      <w:r w:rsidRPr="00AF236C">
        <w:rPr>
          <w:rFonts w:ascii="Arial" w:hAnsi="Arial" w:cs="Arial"/>
          <w:color w:val="000000"/>
          <w:sz w:val="20"/>
          <w:szCs w:val="20"/>
        </w:rPr>
        <w:t xml:space="preserve">Obávame sa, že toto ustanovenie priamo odporuje účelu (verejného) obstarávania - nutnosť, aby výber zhotoviteľa prebehol spôsobom podľa predpísaných pravidiel obstarávania. </w:t>
      </w:r>
    </w:p>
    <w:p w14:paraId="6D06FAFE" w14:textId="77777777" w:rsidR="0057531C" w:rsidRPr="00AF236C" w:rsidRDefault="0057531C" w:rsidP="00AF23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F236C">
        <w:rPr>
          <w:rFonts w:ascii="Arial" w:hAnsi="Arial" w:cs="Arial"/>
          <w:color w:val="000000"/>
          <w:sz w:val="20"/>
          <w:szCs w:val="20"/>
        </w:rPr>
        <w:t xml:space="preserve">Uchádzač totiž navrhuje (za ním stanovenú cenu) dodávané výrobky, ktoré budú tvoriť súčasť Diela. Tieto výrobky navrhuje v rámci ponuky v súťaži. Nemôžu byť teda jednostranne menené zo strany Objednávateľa, pretože ich výber podlieha súťaží. Jednalo by sa o priame menovanie subdodávateľa, ktoré ako sme uviedli odporuje pravidlám obstarávania verejne financovaných zákaziek. </w:t>
      </w:r>
    </w:p>
    <w:p w14:paraId="3FD7E699" w14:textId="77777777" w:rsidR="0057531C" w:rsidRPr="00AF236C" w:rsidRDefault="0057531C" w:rsidP="00AF236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F236C">
        <w:rPr>
          <w:rFonts w:ascii="Arial" w:hAnsi="Arial" w:cs="Arial"/>
          <w:b/>
          <w:bCs/>
          <w:color w:val="000000"/>
          <w:sz w:val="20"/>
          <w:szCs w:val="20"/>
        </w:rPr>
        <w:t>Uvedený dôvetok preto navrhujeme úplne vyškrtnúť</w:t>
      </w:r>
    </w:p>
    <w:p w14:paraId="58B64D07" w14:textId="77777777" w:rsidR="0057531C" w:rsidRPr="00AF236C" w:rsidRDefault="0057531C" w:rsidP="00AF236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4B5F064" w14:textId="77777777" w:rsidR="0072651A" w:rsidRPr="00BF5B61" w:rsidRDefault="0057531C" w:rsidP="0072651A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color w:val="000000"/>
          <w:sz w:val="20"/>
          <w:szCs w:val="20"/>
        </w:rPr>
        <w:t xml:space="preserve">Odpoveď č. 11:  </w:t>
      </w:r>
      <w:r w:rsidR="0072651A" w:rsidRPr="00BF5B61">
        <w:rPr>
          <w:rFonts w:ascii="Arial" w:hAnsi="Arial" w:cs="Arial"/>
          <w:sz w:val="20"/>
          <w:szCs w:val="20"/>
        </w:rPr>
        <w:t>Bola upravená Príloha č. 3 Návrh zmluvy o</w:t>
      </w:r>
      <w:r w:rsidR="0072651A">
        <w:rPr>
          <w:rFonts w:ascii="Arial" w:hAnsi="Arial" w:cs="Arial"/>
          <w:sz w:val="20"/>
          <w:szCs w:val="20"/>
        </w:rPr>
        <w:t> </w:t>
      </w:r>
      <w:r w:rsidR="0072651A" w:rsidRPr="00BF5B61">
        <w:rPr>
          <w:rFonts w:ascii="Arial" w:hAnsi="Arial" w:cs="Arial"/>
          <w:sz w:val="20"/>
          <w:szCs w:val="20"/>
        </w:rPr>
        <w:t>dielo</w:t>
      </w:r>
      <w:r w:rsidR="0072651A">
        <w:rPr>
          <w:rFonts w:ascii="Arial" w:hAnsi="Arial" w:cs="Arial"/>
          <w:sz w:val="20"/>
          <w:szCs w:val="20"/>
        </w:rPr>
        <w:t>, viď. doplnenie Prílohy č. 3 Návrh zmluvy o dielo.</w:t>
      </w:r>
    </w:p>
    <w:p w14:paraId="338F1478" w14:textId="77777777" w:rsidR="0057531C" w:rsidRPr="00AF236C" w:rsidRDefault="0057531C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3110E7F" w14:textId="77777777" w:rsidR="0057531C" w:rsidRPr="00AF236C" w:rsidRDefault="0057531C" w:rsidP="00AF23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12:  </w:t>
      </w:r>
      <w:r w:rsidRPr="00AF236C">
        <w:rPr>
          <w:rFonts w:ascii="Arial" w:hAnsi="Arial" w:cs="Arial"/>
          <w:sz w:val="20"/>
          <w:szCs w:val="20"/>
        </w:rPr>
        <w:t xml:space="preserve">Do bodu 5.4 Návrhu Zmluvy o dielo navrhujeme doplniť vetu: " Zhotoviteľ môže odoprieť splnenie pokynu Objednávateľa iba pokiaľ by bol pokyn v rozpore s touto Zmluvou a/alebo právnymi predpismi. </w:t>
      </w:r>
    </w:p>
    <w:p w14:paraId="1065DBE2" w14:textId="77777777" w:rsidR="0057531C" w:rsidRPr="00AF236C" w:rsidRDefault="0057531C" w:rsidP="00AF236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F236C">
        <w:rPr>
          <w:rFonts w:ascii="Arial" w:hAnsi="Arial" w:cs="Arial"/>
          <w:b/>
          <w:bCs/>
          <w:color w:val="000000"/>
          <w:sz w:val="20"/>
          <w:szCs w:val="20"/>
        </w:rPr>
        <w:t>Odôvodnenie:</w:t>
      </w:r>
      <w:r w:rsidRPr="00AF236C">
        <w:rPr>
          <w:rFonts w:ascii="Arial" w:hAnsi="Arial" w:cs="Arial"/>
          <w:color w:val="000000"/>
          <w:sz w:val="20"/>
          <w:szCs w:val="20"/>
        </w:rPr>
        <w:t xml:space="preserve"> Navrhujeme doplnenie v nadväznosti na bod. 6 Žiadosti o vysvetlenie k bodu 5.3 Zmluvy pre vylúčenie pochybností, že Zhotoviteľ môže odoprieť splnenie pokynu Objednávateľa iba pokiaľ by bol pokyn v rozpore s touto Zmluvou a/alebo právnymi predpismi</w:t>
      </w:r>
      <w:r w:rsidRPr="00AF236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2EB113FE" w14:textId="77777777" w:rsidR="0057531C" w:rsidRPr="00AF236C" w:rsidRDefault="0057531C" w:rsidP="00AF236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58B52A" w14:textId="77777777" w:rsidR="0069490F" w:rsidRPr="00BF5B61" w:rsidRDefault="0057531C" w:rsidP="0069490F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color w:val="000000"/>
          <w:sz w:val="20"/>
          <w:szCs w:val="20"/>
        </w:rPr>
        <w:t>Odpoveď č. 12:</w:t>
      </w:r>
      <w:r w:rsidR="00CA2913" w:rsidRPr="00AF236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bookmarkStart w:id="0" w:name="_Hlk54889142"/>
      <w:r w:rsidR="0069490F" w:rsidRPr="00BF5B61">
        <w:rPr>
          <w:rFonts w:ascii="Arial" w:hAnsi="Arial" w:cs="Arial"/>
          <w:sz w:val="20"/>
          <w:szCs w:val="20"/>
        </w:rPr>
        <w:t>Bola upravená Príloha č. 3 Návrh zmluvy o</w:t>
      </w:r>
      <w:r w:rsidR="0069490F">
        <w:rPr>
          <w:rFonts w:ascii="Arial" w:hAnsi="Arial" w:cs="Arial"/>
          <w:sz w:val="20"/>
          <w:szCs w:val="20"/>
        </w:rPr>
        <w:t> </w:t>
      </w:r>
      <w:r w:rsidR="0069490F" w:rsidRPr="00BF5B61">
        <w:rPr>
          <w:rFonts w:ascii="Arial" w:hAnsi="Arial" w:cs="Arial"/>
          <w:sz w:val="20"/>
          <w:szCs w:val="20"/>
        </w:rPr>
        <w:t>dielo</w:t>
      </w:r>
      <w:r w:rsidR="0069490F">
        <w:rPr>
          <w:rFonts w:ascii="Arial" w:hAnsi="Arial" w:cs="Arial"/>
          <w:sz w:val="20"/>
          <w:szCs w:val="20"/>
        </w:rPr>
        <w:t>, viď. doplnenie Prílohy č. 3 Návrh zmluvy o dielo.</w:t>
      </w:r>
    </w:p>
    <w:bookmarkEnd w:id="0"/>
    <w:p w14:paraId="182AE773" w14:textId="5F2A021E" w:rsidR="0057531C" w:rsidRPr="00AF236C" w:rsidRDefault="0057531C" w:rsidP="00AF236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DD5CC0" w14:textId="77777777" w:rsidR="0057531C" w:rsidRPr="00AF236C" w:rsidRDefault="0057531C" w:rsidP="00AF236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3C0A78" w14:textId="77777777" w:rsidR="0057531C" w:rsidRPr="00AF236C" w:rsidRDefault="0057531C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color w:val="000000"/>
          <w:sz w:val="20"/>
          <w:szCs w:val="20"/>
        </w:rPr>
        <w:t xml:space="preserve">Otázka č. 13:  </w:t>
      </w:r>
      <w:r w:rsidR="001C511B" w:rsidRPr="00AF236C">
        <w:rPr>
          <w:rFonts w:ascii="Arial" w:hAnsi="Arial" w:cs="Arial"/>
          <w:sz w:val="20"/>
          <w:szCs w:val="20"/>
        </w:rPr>
        <w:t xml:space="preserve">K bodu 8.1 Návrhu Zmluvy o dielo a k požiadavke na platné a účinné poistenie zodpovednosti za škodu spôsobenú </w:t>
      </w:r>
      <w:r w:rsidR="001C511B" w:rsidRPr="00AF236C">
        <w:rPr>
          <w:rFonts w:ascii="Arial" w:hAnsi="Arial" w:cs="Arial"/>
          <w:b/>
          <w:bCs/>
          <w:sz w:val="20"/>
          <w:szCs w:val="20"/>
        </w:rPr>
        <w:t>stavebnou činnosťou</w:t>
      </w:r>
      <w:r w:rsidR="001C511B" w:rsidRPr="00AF236C">
        <w:rPr>
          <w:rFonts w:ascii="Arial" w:hAnsi="Arial" w:cs="Arial"/>
          <w:sz w:val="20"/>
          <w:szCs w:val="20"/>
        </w:rPr>
        <w:t>, by sme sa chceli opýtať pre vylúčenie pochybností, či Obstarávateľ bude akceptovať, ak bude mať uchádzač poistenie „zodpovednosti pri výkone podnikateľskej činnosti“, pokiaľ v ORSR máte zapísanú aj činnosť uskutočňovanie stavieb.</w:t>
      </w:r>
    </w:p>
    <w:p w14:paraId="016A5379" w14:textId="77777777" w:rsidR="001C511B" w:rsidRPr="00AF236C" w:rsidRDefault="001C511B" w:rsidP="00AF236C">
      <w:pPr>
        <w:jc w:val="both"/>
        <w:rPr>
          <w:rFonts w:ascii="Arial" w:hAnsi="Arial" w:cs="Arial"/>
          <w:sz w:val="20"/>
          <w:szCs w:val="20"/>
        </w:rPr>
      </w:pPr>
    </w:p>
    <w:p w14:paraId="6710ED12" w14:textId="77777777" w:rsidR="0069490F" w:rsidRPr="00BF5B61" w:rsidRDefault="001C511B" w:rsidP="0069490F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Odpoveď č. 13: </w:t>
      </w:r>
      <w:r w:rsidR="00CA2913" w:rsidRPr="00AF236C">
        <w:rPr>
          <w:rFonts w:ascii="Arial" w:hAnsi="Arial" w:cs="Arial"/>
          <w:b/>
          <w:bCs/>
          <w:sz w:val="20"/>
          <w:szCs w:val="20"/>
        </w:rPr>
        <w:t xml:space="preserve"> </w:t>
      </w:r>
      <w:r w:rsidR="0069490F" w:rsidRPr="00BF5B61">
        <w:rPr>
          <w:rFonts w:ascii="Arial" w:hAnsi="Arial" w:cs="Arial"/>
          <w:sz w:val="20"/>
          <w:szCs w:val="20"/>
        </w:rPr>
        <w:t>Bola upravená Príloha č. 3 Návrh zmluvy o</w:t>
      </w:r>
      <w:r w:rsidR="0069490F">
        <w:rPr>
          <w:rFonts w:ascii="Arial" w:hAnsi="Arial" w:cs="Arial"/>
          <w:sz w:val="20"/>
          <w:szCs w:val="20"/>
        </w:rPr>
        <w:t> </w:t>
      </w:r>
      <w:r w:rsidR="0069490F" w:rsidRPr="00BF5B61">
        <w:rPr>
          <w:rFonts w:ascii="Arial" w:hAnsi="Arial" w:cs="Arial"/>
          <w:sz w:val="20"/>
          <w:szCs w:val="20"/>
        </w:rPr>
        <w:t>dielo</w:t>
      </w:r>
      <w:r w:rsidR="0069490F">
        <w:rPr>
          <w:rFonts w:ascii="Arial" w:hAnsi="Arial" w:cs="Arial"/>
          <w:sz w:val="20"/>
          <w:szCs w:val="20"/>
        </w:rPr>
        <w:t>, viď. doplnenie Prílohy č. 3 Návrh zmluvy o dielo.</w:t>
      </w:r>
    </w:p>
    <w:p w14:paraId="0F63BA83" w14:textId="69A028C4" w:rsidR="001C511B" w:rsidRPr="00AF236C" w:rsidRDefault="001C511B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16BE0F2" w14:textId="77777777" w:rsidR="001C511B" w:rsidRPr="00AF236C" w:rsidRDefault="001C511B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2A186F9" w14:textId="77777777" w:rsidR="001C511B" w:rsidRPr="00AF236C" w:rsidRDefault="001C511B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14:  </w:t>
      </w:r>
      <w:r w:rsidRPr="00AF236C">
        <w:rPr>
          <w:rFonts w:ascii="Arial" w:hAnsi="Arial" w:cs="Arial"/>
          <w:sz w:val="20"/>
          <w:szCs w:val="20"/>
        </w:rPr>
        <w:t>V 10.2 Návrhu Zmluvy o dielo žiadame vyhodiť poslednú vetu. Z povahy Diela je zrejmé, že Objednávateľ bude Dielo užívať už počas jeho zhotovovania, keďže sa jedná o výmenu osvetlenia za plnej prevádzky. Aké je opodstatnenie, že Objednávateľ nie je povinný prevziať Dielo v skoršom termíne?</w:t>
      </w:r>
    </w:p>
    <w:p w14:paraId="09C3B6E2" w14:textId="77777777" w:rsidR="001C511B" w:rsidRPr="00AF236C" w:rsidRDefault="001C511B" w:rsidP="00AF236C">
      <w:pPr>
        <w:jc w:val="both"/>
        <w:rPr>
          <w:rFonts w:ascii="Arial" w:hAnsi="Arial" w:cs="Arial"/>
          <w:sz w:val="20"/>
          <w:szCs w:val="20"/>
        </w:rPr>
      </w:pPr>
    </w:p>
    <w:p w14:paraId="344BA6F7" w14:textId="77777777" w:rsidR="00D15BF2" w:rsidRPr="00BF5B61" w:rsidRDefault="001C511B" w:rsidP="00D15BF2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>Odpoveď č. 14:</w:t>
      </w:r>
      <w:r w:rsidR="00F8587E" w:rsidRPr="00AF236C">
        <w:rPr>
          <w:rFonts w:ascii="Arial" w:hAnsi="Arial" w:cs="Arial"/>
          <w:b/>
          <w:bCs/>
          <w:sz w:val="20"/>
          <w:szCs w:val="20"/>
        </w:rPr>
        <w:t xml:space="preserve"> </w:t>
      </w:r>
      <w:r w:rsidR="00D15BF2" w:rsidRPr="00BF5B61">
        <w:rPr>
          <w:rFonts w:ascii="Arial" w:hAnsi="Arial" w:cs="Arial"/>
          <w:sz w:val="20"/>
          <w:szCs w:val="20"/>
        </w:rPr>
        <w:t>Bola upravená Príloha č. 3 Návrh zmluvy o</w:t>
      </w:r>
      <w:r w:rsidR="00D15BF2">
        <w:rPr>
          <w:rFonts w:ascii="Arial" w:hAnsi="Arial" w:cs="Arial"/>
          <w:sz w:val="20"/>
          <w:szCs w:val="20"/>
        </w:rPr>
        <w:t> </w:t>
      </w:r>
      <w:r w:rsidR="00D15BF2" w:rsidRPr="00BF5B61">
        <w:rPr>
          <w:rFonts w:ascii="Arial" w:hAnsi="Arial" w:cs="Arial"/>
          <w:sz w:val="20"/>
          <w:szCs w:val="20"/>
        </w:rPr>
        <w:t>dielo</w:t>
      </w:r>
      <w:r w:rsidR="00D15BF2">
        <w:rPr>
          <w:rFonts w:ascii="Arial" w:hAnsi="Arial" w:cs="Arial"/>
          <w:sz w:val="20"/>
          <w:szCs w:val="20"/>
        </w:rPr>
        <w:t>, viď. doplnenie Prílohy č. 3 Návrh zmluvy o dielo.</w:t>
      </w:r>
    </w:p>
    <w:p w14:paraId="5551184D" w14:textId="4048C84F" w:rsidR="001C511B" w:rsidRDefault="001C511B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92FCD51" w14:textId="77777777" w:rsidR="001C511B" w:rsidRPr="00AF236C" w:rsidRDefault="001C511B" w:rsidP="00AF23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15:  </w:t>
      </w:r>
      <w:r w:rsidRPr="00AF236C">
        <w:rPr>
          <w:rFonts w:ascii="Arial" w:hAnsi="Arial" w:cs="Arial"/>
          <w:sz w:val="20"/>
          <w:szCs w:val="20"/>
        </w:rPr>
        <w:t xml:space="preserve">Najmä s ohľadom na skutočnosť, že nikde nie sú definované požiadavky na podrobnosť harmonogramu (nie je ani definovaná ako príloha ZoD), navrhli by sme bod 13.2.1 upraviť nasledovne: </w:t>
      </w:r>
      <w:r w:rsidRPr="00AF236C">
        <w:rPr>
          <w:rFonts w:ascii="Arial" w:hAnsi="Arial" w:cs="Arial"/>
          <w:b/>
          <w:bCs/>
          <w:sz w:val="20"/>
          <w:szCs w:val="20"/>
        </w:rPr>
        <w:t xml:space="preserve">13.2.1. je Zhotoviteľ v omeškaní o viac ako pätnásť (15) dní s plnením Zmluvy oproti ktorémukoľvek termínu uvedenému v Harmonograme a ani v náhradnej (ďalšej) lehote pätnásť (15) dní nepreukáže, že prijal opatrenia podľa bodu 4.10 Zmluvy, ktorými toto omeškanie odstránil“. </w:t>
      </w:r>
    </w:p>
    <w:p w14:paraId="19E4749E" w14:textId="77777777" w:rsidR="001C511B" w:rsidRPr="00AF236C" w:rsidRDefault="001C511B" w:rsidP="00AF236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F236C">
        <w:rPr>
          <w:rFonts w:ascii="Arial" w:hAnsi="Arial" w:cs="Arial"/>
          <w:b/>
          <w:bCs/>
          <w:color w:val="000000"/>
          <w:sz w:val="20"/>
          <w:szCs w:val="20"/>
        </w:rPr>
        <w:t xml:space="preserve">Odôvodnenie: </w:t>
      </w:r>
      <w:r w:rsidRPr="00AF236C">
        <w:rPr>
          <w:rFonts w:ascii="Arial" w:hAnsi="Arial" w:cs="Arial"/>
          <w:color w:val="000000"/>
          <w:sz w:val="20"/>
          <w:szCs w:val="20"/>
        </w:rPr>
        <w:t xml:space="preserve">Omeškanie totiž môže vzniknúť k nejakej parciálnej povinnosti, ktorá vôbec nemá kritický vplyv na zhotovovanie diela, na základe čoho by malo vzniknúť oprávnenie objednávateľa na </w:t>
      </w:r>
      <w:r w:rsidRPr="00AF236C">
        <w:rPr>
          <w:rFonts w:ascii="Arial" w:hAnsi="Arial" w:cs="Arial"/>
          <w:color w:val="000000"/>
          <w:sz w:val="20"/>
          <w:szCs w:val="20"/>
        </w:rPr>
        <w:lastRenderedPageBreak/>
        <w:t>odstúpenie od zmluvy, hoc sa môže jednať o veľmi ľahko napraviteľný nedostatok. Navrhujeme preto doplniť dodatočnú lehotu napr. 15 dní na nápravu – v zásade by sa charakterom jednalo o „nepodstatné“ porušenie zmluvy s možnosťou nápravy v primeranej lehote.</w:t>
      </w:r>
    </w:p>
    <w:p w14:paraId="6C5AA338" w14:textId="77777777" w:rsidR="001C511B" w:rsidRPr="00AF236C" w:rsidRDefault="001C511B" w:rsidP="00AF236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C3482AB" w14:textId="77777777" w:rsidR="002324E5" w:rsidRPr="00BF5B61" w:rsidRDefault="001C511B" w:rsidP="002324E5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Odpoveď č. 15:  </w:t>
      </w:r>
      <w:r w:rsidR="002324E5" w:rsidRPr="00BF5B61">
        <w:rPr>
          <w:rFonts w:ascii="Arial" w:hAnsi="Arial" w:cs="Arial"/>
          <w:sz w:val="20"/>
          <w:szCs w:val="20"/>
        </w:rPr>
        <w:t>Bola upravená Príloha č. 3 Návrh zmluvy o</w:t>
      </w:r>
      <w:r w:rsidR="002324E5">
        <w:rPr>
          <w:rFonts w:ascii="Arial" w:hAnsi="Arial" w:cs="Arial"/>
          <w:sz w:val="20"/>
          <w:szCs w:val="20"/>
        </w:rPr>
        <w:t> </w:t>
      </w:r>
      <w:r w:rsidR="002324E5" w:rsidRPr="00BF5B61">
        <w:rPr>
          <w:rFonts w:ascii="Arial" w:hAnsi="Arial" w:cs="Arial"/>
          <w:sz w:val="20"/>
          <w:szCs w:val="20"/>
        </w:rPr>
        <w:t>dielo</w:t>
      </w:r>
      <w:r w:rsidR="002324E5">
        <w:rPr>
          <w:rFonts w:ascii="Arial" w:hAnsi="Arial" w:cs="Arial"/>
          <w:sz w:val="20"/>
          <w:szCs w:val="20"/>
        </w:rPr>
        <w:t>, viď. doplnenie Prílohy č. 3 Návrh zmluvy o dielo.</w:t>
      </w:r>
    </w:p>
    <w:p w14:paraId="52580B95" w14:textId="77777777" w:rsidR="001C511B" w:rsidRPr="00AF236C" w:rsidRDefault="001C511B" w:rsidP="00AF236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16C12853" w14:textId="77777777" w:rsidR="001C511B" w:rsidRPr="00AF236C" w:rsidRDefault="001C511B" w:rsidP="00AF236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16: </w:t>
      </w:r>
      <w:r w:rsidRPr="00AF236C">
        <w:rPr>
          <w:rFonts w:ascii="Arial" w:hAnsi="Arial" w:cs="Arial"/>
          <w:sz w:val="20"/>
          <w:szCs w:val="20"/>
        </w:rPr>
        <w:t xml:space="preserve">Pre vylúčenie pochybností, žiadame vysvetliť bod 13.5.1. </w:t>
      </w:r>
    </w:p>
    <w:p w14:paraId="0B34BFCA" w14:textId="77777777" w:rsidR="001C511B" w:rsidRPr="00AF236C" w:rsidRDefault="001C511B" w:rsidP="00AF23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F236C">
        <w:rPr>
          <w:rFonts w:ascii="Arial" w:hAnsi="Arial" w:cs="Arial"/>
          <w:b/>
          <w:bCs/>
          <w:color w:val="000000"/>
          <w:sz w:val="20"/>
          <w:szCs w:val="20"/>
        </w:rPr>
        <w:t>Odôvodnenie</w:t>
      </w:r>
      <w:r w:rsidRPr="00AF236C">
        <w:rPr>
          <w:rFonts w:ascii="Arial" w:hAnsi="Arial" w:cs="Arial"/>
          <w:color w:val="000000"/>
          <w:sz w:val="20"/>
          <w:szCs w:val="20"/>
        </w:rPr>
        <w:t xml:space="preserve">: Podľa bodu 13.5 má Zhotoviteľ právo na zaplatenie ceny za dielo v rozsahu v akom bolo vykonané. Ustanovenie § 544 ods. 1 Obchodného zákonníka v zásade vraví to isté, pokiaľ má k zhotovovanému dielu vlastnícke právo objednávateľ. To však nie je tento prípad, keďže tu má vo vlastnícke právo k zhotovovanému Dielu Zhotoviteľ až do prevzatia (trochu odchylne by sa pristupovalo k zabudovaným výrobkom, ktoré nie je možné bez neprimeraných ťažkostí odinštalovať a navrátiť do pôvodného stavu). </w:t>
      </w:r>
    </w:p>
    <w:p w14:paraId="01AE4E60" w14:textId="77777777" w:rsidR="001C511B" w:rsidRPr="00AF236C" w:rsidRDefault="001C511B" w:rsidP="00AF236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AF236C">
        <w:rPr>
          <w:rFonts w:ascii="Arial" w:hAnsi="Arial" w:cs="Arial"/>
          <w:color w:val="000000"/>
          <w:sz w:val="20"/>
          <w:szCs w:val="20"/>
        </w:rPr>
        <w:t xml:space="preserve">Rozumieme preto správne, že v prípade ak dôjde k odstúpeniu od Zmluvy zo strany Objednávateľa pre porušenie povinnosti Zhotoviteľa, tak (i) odstúpenie sa netýka žiadnych už vykonaných časti Diela potvrdených Objednávateľom a netýka sa nároku Objednávateľa ponechať si tieto už zhotovené časti Diela a nároku Zhotoviteľa na ich zaplatenie a (ii) zároveň keďže § 544 ods. 1 Obchodného zákonníka pojednáva o situácii, kedy je zhotovované Dielo vo vlastníctve Objednávateľa, čo nie je prípad tejto Zmluvy, znamená to, že Zhotoviteľ s ohľadom na bod (i) vyššie nebude povinný odinštalovať už dodané a nainštalované výrobky a bude mať právo na zaplatenie ceny za dielo v rozsahu ako dielo bolo skutočne a preukázateľne vykonané? </w:t>
      </w:r>
    </w:p>
    <w:p w14:paraId="17016FE0" w14:textId="77777777" w:rsidR="001C511B" w:rsidRPr="00AF236C" w:rsidRDefault="001C511B" w:rsidP="00AF236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F236C">
        <w:rPr>
          <w:rFonts w:ascii="Arial" w:hAnsi="Arial" w:cs="Arial"/>
          <w:color w:val="000000"/>
          <w:sz w:val="20"/>
          <w:szCs w:val="20"/>
        </w:rPr>
        <w:t>Resp. ako sa má interpretovať dôvetok, že „zhotoviteľovi nepatrí žiadna úhrada za to, o čo sa objednávateľ obohatil“? Tento dôvetok totiž indikuje, akoby niečo malo Objednávateľovi zostať a Zhotoviteľ by za to nemal dostať zaplatené a nemal by ani nárok si to vziať späť. V ustanovení § 544 ods. 1 Obchodného zákonníka sa totiž vyskytuje slovo „patrí“ nie „nepatrí“.</w:t>
      </w:r>
    </w:p>
    <w:p w14:paraId="2D2DA44B" w14:textId="77777777" w:rsidR="001C511B" w:rsidRPr="00AF236C" w:rsidRDefault="001C511B" w:rsidP="00AF236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049967" w14:textId="77777777" w:rsidR="001C511B" w:rsidRPr="00AF236C" w:rsidRDefault="001C511B" w:rsidP="00AF236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7DDB30" w14:textId="141A3F61" w:rsidR="00D12A81" w:rsidRPr="00BF5B61" w:rsidRDefault="001C511B" w:rsidP="00D12A81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color w:val="000000"/>
          <w:sz w:val="20"/>
          <w:szCs w:val="20"/>
        </w:rPr>
        <w:t>Odpoveď č. 16:</w:t>
      </w:r>
      <w:r w:rsidR="009436AE" w:rsidRPr="00AF236C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D12A81" w:rsidRPr="004F407C">
        <w:rPr>
          <w:rFonts w:ascii="Arial" w:hAnsi="Arial" w:cs="Arial"/>
          <w:sz w:val="20"/>
          <w:szCs w:val="20"/>
        </w:rPr>
        <w:t>Bola upravená Príloha č. 3 Návrh zmluvy o dielo, viď. doplnenie Prílohy č. 3 Návrh zmluvy o dielo.</w:t>
      </w:r>
      <w:r w:rsidR="001D77C9">
        <w:rPr>
          <w:rFonts w:ascii="Arial" w:hAnsi="Arial" w:cs="Arial"/>
          <w:sz w:val="20"/>
          <w:szCs w:val="20"/>
        </w:rPr>
        <w:t xml:space="preserve"> Bod 13.5.1 bol vypustený.</w:t>
      </w:r>
    </w:p>
    <w:p w14:paraId="21734A94" w14:textId="77777777" w:rsidR="009436AE" w:rsidRPr="00AF236C" w:rsidRDefault="009436AE" w:rsidP="00AF236C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00D286" w14:textId="77777777" w:rsidR="009436AE" w:rsidRPr="00AF236C" w:rsidRDefault="009436AE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color w:val="000000"/>
          <w:sz w:val="20"/>
          <w:szCs w:val="20"/>
        </w:rPr>
        <w:t xml:space="preserve">Otázka č. 17:  </w:t>
      </w:r>
      <w:r w:rsidRPr="00AF236C">
        <w:rPr>
          <w:rFonts w:ascii="Arial" w:hAnsi="Arial" w:cs="Arial"/>
          <w:sz w:val="20"/>
          <w:szCs w:val="20"/>
        </w:rPr>
        <w:t>Bolo by možné poslať celkovú dispozíciu (vzájomnú polohu) jednotlivých hál?</w:t>
      </w:r>
    </w:p>
    <w:p w14:paraId="3D9958D0" w14:textId="77777777" w:rsidR="009436AE" w:rsidRPr="00AF236C" w:rsidRDefault="009436AE" w:rsidP="00AF236C">
      <w:pPr>
        <w:jc w:val="both"/>
        <w:rPr>
          <w:rFonts w:ascii="Arial" w:hAnsi="Arial" w:cs="Arial"/>
          <w:sz w:val="20"/>
          <w:szCs w:val="20"/>
        </w:rPr>
      </w:pPr>
    </w:p>
    <w:p w14:paraId="75B1C67C" w14:textId="0560E58C" w:rsidR="0010333F" w:rsidRPr="004F407C" w:rsidRDefault="009436AE" w:rsidP="00AF236C">
      <w:pPr>
        <w:jc w:val="both"/>
        <w:rPr>
          <w:rFonts w:ascii="Arial" w:hAnsi="Arial" w:cs="Arial"/>
          <w:sz w:val="20"/>
          <w:szCs w:val="20"/>
        </w:rPr>
      </w:pPr>
      <w:r w:rsidRPr="004F407C">
        <w:rPr>
          <w:rFonts w:ascii="Arial" w:hAnsi="Arial" w:cs="Arial"/>
          <w:b/>
          <w:bCs/>
          <w:sz w:val="20"/>
          <w:szCs w:val="20"/>
        </w:rPr>
        <w:t>Odpoveď č. 17:</w:t>
      </w:r>
      <w:r w:rsidR="00D12A81" w:rsidRPr="004F407C">
        <w:rPr>
          <w:rFonts w:ascii="Arial" w:hAnsi="Arial" w:cs="Arial"/>
          <w:sz w:val="20"/>
          <w:szCs w:val="20"/>
        </w:rPr>
        <w:t xml:space="preserve"> </w:t>
      </w:r>
      <w:r w:rsidR="0010333F" w:rsidRPr="004F407C">
        <w:rPr>
          <w:rFonts w:ascii="Arial" w:hAnsi="Arial" w:cs="Arial"/>
          <w:sz w:val="20"/>
          <w:szCs w:val="20"/>
        </w:rPr>
        <w:t>Celková dispozícia hál:</w:t>
      </w:r>
    </w:p>
    <w:p w14:paraId="7152CCFA" w14:textId="0560E58C" w:rsidR="0010333F" w:rsidRDefault="0010333F" w:rsidP="00AF236C">
      <w:p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448F0E43" wp14:editId="5DD3A92B">
            <wp:extent cx="5760720" cy="381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28486" w14:textId="77777777" w:rsidR="0010333F" w:rsidRDefault="0010333F" w:rsidP="00AF236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05582087" w14:textId="77777777" w:rsidR="0010333F" w:rsidRPr="000F3765" w:rsidRDefault="0010333F" w:rsidP="0010333F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F3765">
        <w:rPr>
          <w:rFonts w:ascii="Arial" w:eastAsia="Times New Roman" w:hAnsi="Arial" w:cs="Arial"/>
          <w:color w:val="000000"/>
          <w:sz w:val="20"/>
          <w:szCs w:val="20"/>
        </w:rPr>
        <w:t xml:space="preserve">Na základe uvedenej otázky došlo zároveň k úprave informácii v Prílohe č. 1 Opis predmetu zákazky.  </w:t>
      </w:r>
    </w:p>
    <w:p w14:paraId="45952278" w14:textId="77777777" w:rsidR="0010333F" w:rsidRDefault="0010333F" w:rsidP="00AF236C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1D6D4598" w14:textId="77777777" w:rsidR="009436AE" w:rsidRPr="00AF236C" w:rsidRDefault="009436AE" w:rsidP="00AF236C">
      <w:pPr>
        <w:jc w:val="both"/>
        <w:rPr>
          <w:rFonts w:ascii="Arial" w:hAnsi="Arial" w:cs="Arial"/>
          <w:sz w:val="20"/>
          <w:szCs w:val="20"/>
        </w:rPr>
      </w:pPr>
    </w:p>
    <w:p w14:paraId="04138E52" w14:textId="77777777" w:rsidR="009436AE" w:rsidRPr="00AF236C" w:rsidRDefault="009436AE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18:  </w:t>
      </w:r>
      <w:r w:rsidRPr="00AF236C">
        <w:rPr>
          <w:rFonts w:ascii="Arial" w:hAnsi="Arial" w:cs="Arial"/>
          <w:sz w:val="20"/>
          <w:szCs w:val="20"/>
        </w:rPr>
        <w:t>Bolo by možné do projektovej dokumentácie doplniť typy/účel miestností? Nakoľko nie všetky sú v podkladoch definované.</w:t>
      </w:r>
    </w:p>
    <w:p w14:paraId="7D4798CE" w14:textId="77777777" w:rsidR="009436AE" w:rsidRPr="00AF236C" w:rsidRDefault="009436AE" w:rsidP="00AF236C">
      <w:pPr>
        <w:jc w:val="both"/>
        <w:rPr>
          <w:rFonts w:ascii="Arial" w:hAnsi="Arial" w:cs="Arial"/>
          <w:sz w:val="20"/>
          <w:szCs w:val="20"/>
        </w:rPr>
      </w:pPr>
    </w:p>
    <w:p w14:paraId="3EBE1FCE" w14:textId="03DAAE24" w:rsidR="00D12A81" w:rsidRPr="00BF5B61" w:rsidRDefault="009436AE" w:rsidP="00D12A81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>Odpoveď č. 18:</w:t>
      </w:r>
      <w:r w:rsidR="00D12A81">
        <w:rPr>
          <w:rFonts w:ascii="Arial" w:hAnsi="Arial" w:cs="Arial"/>
          <w:b/>
          <w:bCs/>
          <w:sz w:val="20"/>
          <w:szCs w:val="20"/>
        </w:rPr>
        <w:t xml:space="preserve"> </w:t>
      </w:r>
      <w:r w:rsidR="00D12A81">
        <w:rPr>
          <w:rFonts w:ascii="Arial" w:hAnsi="Arial" w:cs="Arial"/>
          <w:sz w:val="20"/>
          <w:szCs w:val="20"/>
        </w:rPr>
        <w:t xml:space="preserve">Máme za to, že dokumentácia je postačujúca. </w:t>
      </w:r>
    </w:p>
    <w:p w14:paraId="38BB6AEF" w14:textId="77777777" w:rsidR="009436AE" w:rsidRPr="00AF236C" w:rsidRDefault="009436AE" w:rsidP="00AF236C">
      <w:pPr>
        <w:jc w:val="both"/>
        <w:rPr>
          <w:rFonts w:ascii="Arial" w:hAnsi="Arial" w:cs="Arial"/>
          <w:sz w:val="20"/>
          <w:szCs w:val="20"/>
        </w:rPr>
      </w:pPr>
    </w:p>
    <w:p w14:paraId="09022686" w14:textId="77777777" w:rsidR="009436AE" w:rsidRPr="00AF236C" w:rsidRDefault="009436AE" w:rsidP="00AF236C">
      <w:pPr>
        <w:jc w:val="both"/>
        <w:rPr>
          <w:rFonts w:ascii="Arial" w:hAnsi="Arial" w:cs="Arial"/>
          <w:sz w:val="20"/>
          <w:szCs w:val="20"/>
        </w:rPr>
      </w:pPr>
    </w:p>
    <w:p w14:paraId="328C9209" w14:textId="77777777" w:rsidR="009436AE" w:rsidRPr="00AF236C" w:rsidRDefault="009436AE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19:  </w:t>
      </w:r>
      <w:r w:rsidRPr="00AF236C">
        <w:rPr>
          <w:rFonts w:ascii="Arial" w:hAnsi="Arial" w:cs="Arial"/>
          <w:sz w:val="20"/>
          <w:szCs w:val="20"/>
        </w:rPr>
        <w:t>Ako je potrebné chápať dodávku núdzového osvetlenia, nakoľko v technických dokumentáciách sa skorej uvádza, že to nie je predmetom projektovej dokumentácie ale ďalej v časti „Núdzové osvetlenie a protipanikové“ je uvádzané, že svietidlá sú zhodné (až na invertor) s hlavným osvetlením a budú rozmiestnené v priestore.</w:t>
      </w:r>
    </w:p>
    <w:p w14:paraId="55CB3551" w14:textId="77777777" w:rsidR="009436AE" w:rsidRPr="00AF236C" w:rsidRDefault="009436AE" w:rsidP="00AF236C">
      <w:pPr>
        <w:jc w:val="both"/>
        <w:rPr>
          <w:rFonts w:ascii="Arial" w:hAnsi="Arial" w:cs="Arial"/>
          <w:sz w:val="20"/>
          <w:szCs w:val="20"/>
        </w:rPr>
      </w:pPr>
    </w:p>
    <w:p w14:paraId="6FC93A4A" w14:textId="77777777" w:rsidR="00D12A81" w:rsidRDefault="009436AE" w:rsidP="00D12A81">
      <w:pPr>
        <w:pStyle w:val="Standard"/>
        <w:jc w:val="both"/>
      </w:pPr>
      <w:r w:rsidRPr="00AF236C">
        <w:rPr>
          <w:rFonts w:ascii="Arial" w:hAnsi="Arial" w:cs="Arial"/>
          <w:b/>
          <w:bCs/>
          <w:sz w:val="20"/>
          <w:szCs w:val="20"/>
        </w:rPr>
        <w:t>Odpoveď č. 19:</w:t>
      </w:r>
      <w:r w:rsidR="00D12A81" w:rsidRPr="00D12A81">
        <w:rPr>
          <w:b/>
          <w:bCs/>
          <w:color w:val="FF3333"/>
        </w:rPr>
        <w:t xml:space="preserve"> </w:t>
      </w:r>
      <w:r w:rsidR="00D12A81" w:rsidRPr="00D12A81">
        <w:rPr>
          <w:rFonts w:ascii="Arial" w:eastAsiaTheme="minorHAnsi" w:hAnsi="Arial" w:cs="Arial"/>
          <w:kern w:val="0"/>
          <w:sz w:val="20"/>
          <w:szCs w:val="20"/>
        </w:rPr>
        <w:t>Núdzové osvetlenie je existujúce, niekde sú svietidlá s núdzovým zdrojom – treba ich chápať ako protipanikové v zmysle, že keď vypadne hlavné osvetlenie, medzi strojnými zariadeniami nemusí stačiť klasické núdzové osvetlenie. Sú zrejmé z legendy zariadení.</w:t>
      </w:r>
    </w:p>
    <w:p w14:paraId="15CE2F3B" w14:textId="77777777" w:rsidR="009436AE" w:rsidRPr="00AF236C" w:rsidRDefault="009436AE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BA6C12" w14:textId="77777777" w:rsidR="009436AE" w:rsidRPr="00AF236C" w:rsidRDefault="009436AE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20:  </w:t>
      </w:r>
      <w:r w:rsidRPr="00AF236C">
        <w:rPr>
          <w:rFonts w:ascii="Arial" w:hAnsi="Arial" w:cs="Arial"/>
          <w:sz w:val="20"/>
          <w:szCs w:val="20"/>
        </w:rPr>
        <w:t>V technickej dokumentácii je uvedené (bod Elektroinštalácia), že Ovládače budú prepojené so senzormi pohybu. Majú byť súčasťou dodávky aj senzory pohybu? Ide totiž o to, že v projektovej dokumentácii sú síce predpísané multisenzory  Helvar 312, ale tieto senzory sú absolútne nevhodné pre takýto typ inštalácie, či už pre potreby snímania detekcie pohybu alebo intenzity. Nie je náhodou v technických správach „preklep“ a riadenie na základe pohybu vôbec nemá byť riešené? Nakoľko sa v halách nachádzajú relatívne rozmerné svetlíky, dáva zmysel vytvoriť automatický systém regulácie na základe intenzity. Nie je ale v tom prípade potrebné sa držať predpísaných senzorov Helvar 312 a je možné použiť iný vhodný typ senzoru?</w:t>
      </w:r>
    </w:p>
    <w:p w14:paraId="63D0BAF7" w14:textId="77777777" w:rsidR="009436AE" w:rsidRPr="00AF236C" w:rsidRDefault="009436AE" w:rsidP="00AF236C">
      <w:pPr>
        <w:jc w:val="both"/>
        <w:rPr>
          <w:rFonts w:ascii="Arial" w:hAnsi="Arial" w:cs="Arial"/>
          <w:sz w:val="20"/>
          <w:szCs w:val="20"/>
        </w:rPr>
      </w:pPr>
    </w:p>
    <w:p w14:paraId="59A17A0F" w14:textId="77777777" w:rsidR="009436AE" w:rsidRPr="00AF236C" w:rsidRDefault="009436AE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>Odpoveď č. 20:</w:t>
      </w:r>
      <w:r w:rsidR="00D12A81">
        <w:rPr>
          <w:rFonts w:ascii="Arial" w:hAnsi="Arial" w:cs="Arial"/>
          <w:b/>
          <w:bCs/>
          <w:sz w:val="20"/>
          <w:szCs w:val="20"/>
        </w:rPr>
        <w:t xml:space="preserve"> </w:t>
      </w:r>
      <w:r w:rsidR="00D12A81" w:rsidRPr="00D12A81">
        <w:rPr>
          <w:rFonts w:ascii="Arial" w:hAnsi="Arial" w:cs="Arial"/>
          <w:sz w:val="20"/>
          <w:szCs w:val="20"/>
        </w:rPr>
        <w:t>Senzory s</w:t>
      </w:r>
      <w:r w:rsidR="00D12A81">
        <w:rPr>
          <w:rFonts w:ascii="Arial" w:hAnsi="Arial" w:cs="Arial"/>
          <w:sz w:val="20"/>
          <w:szCs w:val="20"/>
        </w:rPr>
        <w:t>ú</w:t>
      </w:r>
      <w:r w:rsidR="00D12A81" w:rsidRPr="00D12A81">
        <w:rPr>
          <w:rFonts w:ascii="Arial" w:hAnsi="Arial" w:cs="Arial"/>
          <w:sz w:val="20"/>
          <w:szCs w:val="20"/>
        </w:rPr>
        <w:t xml:space="preserve"> kombinované, pohyb a intenzita.</w:t>
      </w:r>
    </w:p>
    <w:p w14:paraId="22D4739B" w14:textId="77777777" w:rsidR="009436AE" w:rsidRPr="00AF236C" w:rsidRDefault="009436AE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C39EA8D" w14:textId="77777777" w:rsidR="009436AE" w:rsidRPr="00AF236C" w:rsidRDefault="009436AE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21:  </w:t>
      </w:r>
      <w:r w:rsidRPr="00AF236C">
        <w:rPr>
          <w:rFonts w:ascii="Arial" w:hAnsi="Arial" w:cs="Arial"/>
          <w:sz w:val="20"/>
          <w:szCs w:val="20"/>
        </w:rPr>
        <w:t xml:space="preserve">Aká je požiadavka na PC aplikáciu riadenia osvetlenia, ktorá je spomínaná v technických dokumentáciách v časti Elektroinštalácia? </w:t>
      </w:r>
    </w:p>
    <w:p w14:paraId="64E80E12" w14:textId="77777777" w:rsidR="009436AE" w:rsidRPr="00AF236C" w:rsidRDefault="009436AE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570A321" w14:textId="77777777" w:rsidR="009436AE" w:rsidRPr="00AF236C" w:rsidRDefault="009436AE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Odpoveď č. 21: </w:t>
      </w:r>
      <w:r w:rsidR="00D12A81" w:rsidRPr="004F407C">
        <w:rPr>
          <w:rFonts w:ascii="Arial" w:hAnsi="Arial" w:cs="Arial"/>
          <w:sz w:val="20"/>
          <w:szCs w:val="20"/>
        </w:rPr>
        <w:t>Monitorovanie a ovládanie.</w:t>
      </w:r>
    </w:p>
    <w:p w14:paraId="4D44CAF1" w14:textId="77777777" w:rsidR="009436AE" w:rsidRPr="00AF236C" w:rsidRDefault="009436AE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9865094" w14:textId="77777777" w:rsidR="009436AE" w:rsidRPr="00AF236C" w:rsidRDefault="009436AE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22:  </w:t>
      </w:r>
      <w:r w:rsidRPr="00AF236C">
        <w:rPr>
          <w:rFonts w:ascii="Arial" w:hAnsi="Arial" w:cs="Arial"/>
          <w:sz w:val="20"/>
          <w:szCs w:val="20"/>
        </w:rPr>
        <w:t>V</w:t>
      </w:r>
      <w:r w:rsidR="0044539B" w:rsidRPr="00AF236C">
        <w:rPr>
          <w:rFonts w:ascii="Arial" w:hAnsi="Arial" w:cs="Arial"/>
          <w:sz w:val="20"/>
          <w:szCs w:val="20"/>
        </w:rPr>
        <w:t> </w:t>
      </w:r>
      <w:r w:rsidRPr="00AF236C">
        <w:rPr>
          <w:rFonts w:ascii="Arial" w:hAnsi="Arial" w:cs="Arial"/>
          <w:sz w:val="20"/>
          <w:szCs w:val="20"/>
        </w:rPr>
        <w:t>projektovej dokumentácii je v</w:t>
      </w:r>
      <w:r w:rsidR="0044539B" w:rsidRPr="00AF236C">
        <w:rPr>
          <w:rFonts w:ascii="Arial" w:hAnsi="Arial" w:cs="Arial"/>
          <w:sz w:val="20"/>
          <w:szCs w:val="20"/>
        </w:rPr>
        <w:t> </w:t>
      </w:r>
      <w:r w:rsidRPr="00AF236C">
        <w:rPr>
          <w:rFonts w:ascii="Arial" w:hAnsi="Arial" w:cs="Arial"/>
          <w:sz w:val="20"/>
          <w:szCs w:val="20"/>
        </w:rPr>
        <w:t>rozvádzači R11 nakreslený o</w:t>
      </w:r>
      <w:r w:rsidR="0044539B" w:rsidRPr="00AF236C">
        <w:rPr>
          <w:rFonts w:ascii="Arial" w:hAnsi="Arial" w:cs="Arial"/>
          <w:sz w:val="20"/>
          <w:szCs w:val="20"/>
        </w:rPr>
        <w:t> </w:t>
      </w:r>
      <w:r w:rsidRPr="00AF236C">
        <w:rPr>
          <w:rFonts w:ascii="Arial" w:hAnsi="Arial" w:cs="Arial"/>
          <w:sz w:val="20"/>
          <w:szCs w:val="20"/>
        </w:rPr>
        <w:t>jeden DALI regulátor Hevlar 910 na viac. Je potrebné s</w:t>
      </w:r>
      <w:r w:rsidR="0044539B" w:rsidRPr="00AF236C">
        <w:rPr>
          <w:rFonts w:ascii="Arial" w:hAnsi="Arial" w:cs="Arial"/>
          <w:sz w:val="20"/>
          <w:szCs w:val="20"/>
        </w:rPr>
        <w:t> </w:t>
      </w:r>
      <w:r w:rsidRPr="00AF236C">
        <w:rPr>
          <w:rFonts w:ascii="Arial" w:hAnsi="Arial" w:cs="Arial"/>
          <w:sz w:val="20"/>
          <w:szCs w:val="20"/>
        </w:rPr>
        <w:t>nim v</w:t>
      </w:r>
      <w:r w:rsidR="0044539B" w:rsidRPr="00AF236C">
        <w:rPr>
          <w:rFonts w:ascii="Arial" w:hAnsi="Arial" w:cs="Arial"/>
          <w:sz w:val="20"/>
          <w:szCs w:val="20"/>
        </w:rPr>
        <w:t> </w:t>
      </w:r>
      <w:r w:rsidRPr="00AF236C">
        <w:rPr>
          <w:rFonts w:ascii="Arial" w:hAnsi="Arial" w:cs="Arial"/>
          <w:sz w:val="20"/>
          <w:szCs w:val="20"/>
        </w:rPr>
        <w:t>cenovej ponuke uvažovať taktiež, alebo to je „preklep“?</w:t>
      </w:r>
    </w:p>
    <w:p w14:paraId="60CE21DE" w14:textId="77777777" w:rsidR="009436AE" w:rsidRPr="00AF236C" w:rsidRDefault="009436AE" w:rsidP="00AF236C">
      <w:pPr>
        <w:jc w:val="both"/>
        <w:rPr>
          <w:rFonts w:ascii="Arial" w:hAnsi="Arial" w:cs="Arial"/>
          <w:sz w:val="20"/>
          <w:szCs w:val="20"/>
        </w:rPr>
      </w:pPr>
    </w:p>
    <w:p w14:paraId="5EF63543" w14:textId="77777777" w:rsidR="009436AE" w:rsidRPr="004F407C" w:rsidRDefault="009436AE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>Odpoveď č. 22:</w:t>
      </w:r>
      <w:r w:rsidR="00D12A81">
        <w:rPr>
          <w:rFonts w:ascii="Arial" w:hAnsi="Arial" w:cs="Arial"/>
          <w:b/>
          <w:bCs/>
          <w:sz w:val="20"/>
          <w:szCs w:val="20"/>
        </w:rPr>
        <w:t xml:space="preserve"> </w:t>
      </w:r>
      <w:r w:rsidR="00D12A81" w:rsidRPr="004F407C">
        <w:rPr>
          <w:rFonts w:ascii="Arial" w:hAnsi="Arial" w:cs="Arial"/>
          <w:sz w:val="20"/>
          <w:szCs w:val="20"/>
        </w:rPr>
        <w:t>Regulátor uvedený v projektovej dokumentácie je potrebné zahrnúť do cenovej ponuky uchádzača.</w:t>
      </w:r>
    </w:p>
    <w:p w14:paraId="26662F99" w14:textId="77777777" w:rsidR="009436AE" w:rsidRPr="00AF236C" w:rsidRDefault="009436AE" w:rsidP="00AF236C">
      <w:pPr>
        <w:jc w:val="both"/>
        <w:rPr>
          <w:rFonts w:ascii="Arial" w:hAnsi="Arial" w:cs="Arial"/>
          <w:sz w:val="20"/>
          <w:szCs w:val="20"/>
        </w:rPr>
      </w:pPr>
    </w:p>
    <w:p w14:paraId="7A9171AE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23:  </w:t>
      </w:r>
      <w:r w:rsidRPr="00AF236C">
        <w:rPr>
          <w:rFonts w:ascii="Arial" w:hAnsi="Arial" w:cs="Arial"/>
          <w:sz w:val="20"/>
          <w:szCs w:val="20"/>
        </w:rPr>
        <w:t xml:space="preserve">V projektovej dokumentácii nie je riešený dátový Ethernetový prepoj medzi rozvádzačmi navzájom a ani medzi sústavou riadenia a PC na ktorých bude aplikácia riadenia osvetlenia. Bude to tým pádom riešené v rámci internej štruktúrovanej kabeláže fabriky HELLA, alebo súčasťou dodávky má byť aj inštalácia kompletnej Ethernetovej kabeláže, či už v rámci prepojov rozvádzačov ako aj prepoja sústavy riadenia a PC. V tom prípade je možné presne definovať, kde sa PC budú nachádzať (konkrétne miestnosti) a na aké typy PC má byť vizualizačno/ovládací program nainštalovaný?  </w:t>
      </w:r>
    </w:p>
    <w:p w14:paraId="38C31B8B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</w:p>
    <w:p w14:paraId="30047CBD" w14:textId="77777777" w:rsidR="0044539B" w:rsidRPr="004F407C" w:rsidRDefault="0044539B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>Odpoveď č. 23:</w:t>
      </w:r>
      <w:r w:rsidR="00D12A81">
        <w:rPr>
          <w:rFonts w:ascii="Arial" w:hAnsi="Arial" w:cs="Arial"/>
          <w:b/>
          <w:bCs/>
          <w:sz w:val="20"/>
          <w:szCs w:val="20"/>
        </w:rPr>
        <w:t xml:space="preserve"> </w:t>
      </w:r>
      <w:r w:rsidR="00D12A81" w:rsidRPr="004F407C">
        <w:rPr>
          <w:rFonts w:ascii="Arial" w:hAnsi="Arial" w:cs="Arial"/>
          <w:sz w:val="20"/>
          <w:szCs w:val="20"/>
        </w:rPr>
        <w:t xml:space="preserve">Bude </w:t>
      </w:r>
      <w:r w:rsidR="00D12A81" w:rsidRPr="00D12A81">
        <w:rPr>
          <w:rFonts w:ascii="Arial" w:hAnsi="Arial" w:cs="Arial"/>
          <w:sz w:val="20"/>
          <w:szCs w:val="20"/>
        </w:rPr>
        <w:t>využitá</w:t>
      </w:r>
      <w:r w:rsidR="00D12A81" w:rsidRPr="004F407C">
        <w:rPr>
          <w:rFonts w:ascii="Arial" w:hAnsi="Arial" w:cs="Arial"/>
          <w:sz w:val="20"/>
          <w:szCs w:val="20"/>
        </w:rPr>
        <w:t xml:space="preserve"> existujúca </w:t>
      </w:r>
      <w:r w:rsidR="00D12A81" w:rsidRPr="00D12A81">
        <w:rPr>
          <w:rFonts w:ascii="Arial" w:hAnsi="Arial" w:cs="Arial"/>
          <w:sz w:val="20"/>
          <w:szCs w:val="20"/>
        </w:rPr>
        <w:t>štruktúrovaná</w:t>
      </w:r>
      <w:r w:rsidR="00D12A81" w:rsidRPr="004F407C">
        <w:rPr>
          <w:rFonts w:ascii="Arial" w:hAnsi="Arial" w:cs="Arial"/>
          <w:sz w:val="20"/>
          <w:szCs w:val="20"/>
        </w:rPr>
        <w:t xml:space="preserve"> kabeláž v</w:t>
      </w:r>
      <w:r w:rsidR="00D12A81">
        <w:rPr>
          <w:rFonts w:ascii="Arial" w:hAnsi="Arial" w:cs="Arial"/>
          <w:sz w:val="20"/>
          <w:szCs w:val="20"/>
        </w:rPr>
        <w:t> </w:t>
      </w:r>
      <w:r w:rsidR="00D12A81" w:rsidRPr="004F407C">
        <w:rPr>
          <w:rFonts w:ascii="Arial" w:hAnsi="Arial" w:cs="Arial"/>
          <w:sz w:val="20"/>
          <w:szCs w:val="20"/>
        </w:rPr>
        <w:t>budovách</w:t>
      </w:r>
      <w:r w:rsidR="00D12A81">
        <w:rPr>
          <w:rFonts w:ascii="Arial" w:hAnsi="Arial" w:cs="Arial"/>
          <w:sz w:val="20"/>
          <w:szCs w:val="20"/>
        </w:rPr>
        <w:t>, súčasťou predmetu zákazky nie je inštalácia ethernetovej kabeláže.</w:t>
      </w:r>
    </w:p>
    <w:p w14:paraId="37321EF3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</w:p>
    <w:p w14:paraId="60D10E5E" w14:textId="77777777" w:rsidR="0044539B" w:rsidRDefault="0044539B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24:  </w:t>
      </w:r>
      <w:r w:rsidRPr="00AF236C">
        <w:rPr>
          <w:rFonts w:ascii="Arial" w:hAnsi="Arial" w:cs="Arial"/>
          <w:sz w:val="20"/>
          <w:szCs w:val="20"/>
        </w:rPr>
        <w:t>Je potrebné riešiť aj prepojenie na vzdialenú správu k dodávateľovi systému riadenia (kvôli rýchlemu supportu)? Pri takýchto veľkých inštaláciách je to bežná prax.</w:t>
      </w:r>
    </w:p>
    <w:p w14:paraId="4F212468" w14:textId="77777777" w:rsidR="00D12A81" w:rsidRPr="00AF236C" w:rsidRDefault="00D12A81" w:rsidP="00AF236C">
      <w:pPr>
        <w:jc w:val="both"/>
        <w:rPr>
          <w:rFonts w:ascii="Arial" w:hAnsi="Arial" w:cs="Arial"/>
          <w:sz w:val="20"/>
          <w:szCs w:val="20"/>
        </w:rPr>
      </w:pPr>
    </w:p>
    <w:p w14:paraId="457E9813" w14:textId="1BFFA59B" w:rsidR="0044539B" w:rsidRPr="00AF236C" w:rsidRDefault="0044539B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Odpoveď č. 24: </w:t>
      </w:r>
      <w:r w:rsidR="00AE1947" w:rsidRPr="004F407C">
        <w:rPr>
          <w:rFonts w:ascii="Arial" w:hAnsi="Arial" w:cs="Arial"/>
          <w:sz w:val="20"/>
          <w:szCs w:val="20"/>
        </w:rPr>
        <w:t xml:space="preserve">Uchádzač je povinný sa riadiť iba </w:t>
      </w:r>
      <w:r w:rsidR="00AE1947">
        <w:rPr>
          <w:rFonts w:ascii="Arial" w:hAnsi="Arial" w:cs="Arial"/>
          <w:sz w:val="20"/>
          <w:szCs w:val="20"/>
        </w:rPr>
        <w:t>rozsahom uvedeným v projektovej dokumentácii</w:t>
      </w:r>
      <w:r w:rsidR="00EF45C2">
        <w:rPr>
          <w:rFonts w:ascii="Arial" w:hAnsi="Arial" w:cs="Arial"/>
          <w:sz w:val="20"/>
          <w:szCs w:val="20"/>
        </w:rPr>
        <w:t>, ak to nie je uvedené v projektovej dokumentácii, uchádzač uvedený prvok nezahrnie do svojej ponuky.</w:t>
      </w:r>
    </w:p>
    <w:p w14:paraId="249CF921" w14:textId="77777777" w:rsidR="0044539B" w:rsidRPr="00AF236C" w:rsidRDefault="0044539B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50E33DE" w14:textId="77777777" w:rsidR="0044539B" w:rsidRPr="00AF236C" w:rsidRDefault="0044539B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CE88D0F" w14:textId="77777777" w:rsidR="0044539B" w:rsidRPr="00AF236C" w:rsidRDefault="0044539B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078683F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lastRenderedPageBreak/>
        <w:t xml:space="preserve">Otázka č. 25:  </w:t>
      </w:r>
      <w:r w:rsidRPr="00AF236C">
        <w:rPr>
          <w:rFonts w:ascii="Arial" w:hAnsi="Arial" w:cs="Arial"/>
          <w:sz w:val="20"/>
          <w:szCs w:val="20"/>
        </w:rPr>
        <w:t xml:space="preserve">Počas obhliadky bolo sprevádzajúcou osobou povedané, </w:t>
      </w:r>
      <w:bookmarkStart w:id="1" w:name="_Hlk55222405"/>
      <w:r w:rsidRPr="00AF236C">
        <w:rPr>
          <w:rFonts w:ascii="Arial" w:hAnsi="Arial" w:cs="Arial"/>
          <w:sz w:val="20"/>
          <w:szCs w:val="20"/>
        </w:rPr>
        <w:t>že niektoré kazetové stropy sú rozmeru 600x600 a niektoré 625x625. Bolo by možné definovať kde sú aké?</w:t>
      </w:r>
    </w:p>
    <w:p w14:paraId="2643ECAA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</w:p>
    <w:p w14:paraId="595CBAB5" w14:textId="77777777" w:rsidR="00E46340" w:rsidRPr="00AF236C" w:rsidRDefault="0044539B" w:rsidP="00E46340">
      <w:pPr>
        <w:jc w:val="both"/>
        <w:rPr>
          <w:rFonts w:ascii="Arial" w:hAnsi="Arial" w:cs="Arial"/>
          <w:sz w:val="20"/>
          <w:szCs w:val="20"/>
        </w:rPr>
      </w:pPr>
      <w:r w:rsidRPr="004F407C">
        <w:rPr>
          <w:rFonts w:ascii="Arial" w:hAnsi="Arial" w:cs="Arial"/>
          <w:b/>
          <w:bCs/>
          <w:sz w:val="20"/>
          <w:szCs w:val="20"/>
        </w:rPr>
        <w:t xml:space="preserve">Odpoveď č. 25: </w:t>
      </w:r>
      <w:r w:rsidR="00E46340">
        <w:rPr>
          <w:rFonts w:ascii="Arial" w:hAnsi="Arial" w:cs="Arial"/>
          <w:sz w:val="20"/>
          <w:szCs w:val="20"/>
        </w:rPr>
        <w:t xml:space="preserve">Pre kazetové stropy platia nasledovné rozmery: </w:t>
      </w:r>
    </w:p>
    <w:p w14:paraId="5F1B4351" w14:textId="7E879A75" w:rsidR="00E46340" w:rsidRPr="004F407C" w:rsidRDefault="00E46340" w:rsidP="004F407C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44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2140"/>
        <w:gridCol w:w="2380"/>
        <w:gridCol w:w="1780"/>
      </w:tblGrid>
      <w:tr w:rsidR="00E46340" w14:paraId="648907E2" w14:textId="77777777" w:rsidTr="004F407C">
        <w:trPr>
          <w:trHeight w:val="300"/>
        </w:trPr>
        <w:tc>
          <w:tcPr>
            <w:tcW w:w="2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878DB4" w14:textId="52A6EB92" w:rsidR="00E46340" w:rsidRDefault="00E46340" w:rsidP="00E46340">
            <w:pPr>
              <w:jc w:val="center"/>
              <w:rPr>
                <w:color w:val="000000"/>
              </w:rPr>
            </w:pPr>
            <w:r w:rsidRPr="00802281">
              <w:rPr>
                <w:b/>
                <w:bCs/>
                <w:color w:val="000000"/>
              </w:rPr>
              <w:t xml:space="preserve">stavba / číslo výkresu </w:t>
            </w:r>
          </w:p>
        </w:tc>
        <w:tc>
          <w:tcPr>
            <w:tcW w:w="2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41AB1" w14:textId="68A81E4C" w:rsidR="00E46340" w:rsidRDefault="00E46340" w:rsidP="00E46340">
            <w:pPr>
              <w:jc w:val="center"/>
              <w:rPr>
                <w:color w:val="000000"/>
              </w:rPr>
            </w:pPr>
            <w:r w:rsidRPr="00802281">
              <w:rPr>
                <w:b/>
                <w:bCs/>
                <w:color w:val="000000"/>
              </w:rPr>
              <w:t>výkres č.</w:t>
            </w:r>
          </w:p>
        </w:tc>
        <w:tc>
          <w:tcPr>
            <w:tcW w:w="2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90CC25" w14:textId="149F423F" w:rsidR="00E46340" w:rsidRDefault="00E46340" w:rsidP="00E46340">
            <w:pPr>
              <w:jc w:val="center"/>
              <w:rPr>
                <w:color w:val="000000"/>
              </w:rPr>
            </w:pPr>
            <w:r w:rsidRPr="00802281">
              <w:rPr>
                <w:b/>
                <w:bCs/>
                <w:color w:val="000000"/>
              </w:rPr>
              <w:t>rozmer kazeta  / mm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F48B18" w14:textId="3CBD2F4C" w:rsidR="00E46340" w:rsidRDefault="00E46340" w:rsidP="00E46340">
            <w:pPr>
              <w:rPr>
                <w:color w:val="000000"/>
              </w:rPr>
            </w:pPr>
            <w:r w:rsidRPr="00802281">
              <w:rPr>
                <w:b/>
                <w:bCs/>
                <w:color w:val="000000"/>
              </w:rPr>
              <w:t>Poznámka</w:t>
            </w:r>
          </w:p>
        </w:tc>
      </w:tr>
      <w:tr w:rsidR="00E46340" w14:paraId="736B41BB" w14:textId="77777777" w:rsidTr="004F407C">
        <w:trPr>
          <w:trHeight w:val="300"/>
        </w:trPr>
        <w:tc>
          <w:tcPr>
            <w:tcW w:w="2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092FDC" w14:textId="77777777" w:rsidR="00E46340" w:rsidRDefault="00E46340" w:rsidP="00E46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7.1.3</w:t>
            </w:r>
          </w:p>
        </w:tc>
        <w:tc>
          <w:tcPr>
            <w:tcW w:w="2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DF2ED" w14:textId="77777777" w:rsidR="00E46340" w:rsidRDefault="00E46340" w:rsidP="00E46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D2612" w14:textId="77777777" w:rsidR="00E46340" w:rsidRDefault="00E46340" w:rsidP="00E46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 x 625 x 15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0A4E51" w14:textId="77777777" w:rsidR="00E46340" w:rsidRDefault="00E46340" w:rsidP="00E463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6340" w14:paraId="25E33CBE" w14:textId="77777777" w:rsidTr="004F407C">
        <w:trPr>
          <w:trHeight w:val="300"/>
        </w:trPr>
        <w:tc>
          <w:tcPr>
            <w:tcW w:w="2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C587A2" w14:textId="77777777" w:rsidR="00E46340" w:rsidRDefault="00E46340" w:rsidP="00E46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7.1.3</w:t>
            </w:r>
          </w:p>
        </w:tc>
        <w:tc>
          <w:tcPr>
            <w:tcW w:w="2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F156D9" w14:textId="77777777" w:rsidR="00E46340" w:rsidRDefault="00E46340" w:rsidP="00E46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9DAC8E" w14:textId="77777777" w:rsidR="00E46340" w:rsidRDefault="00E46340" w:rsidP="00E46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 x 625 x 15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1A8BD" w14:textId="77777777" w:rsidR="00E46340" w:rsidRDefault="00E46340" w:rsidP="00E463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6340" w14:paraId="16324F37" w14:textId="77777777" w:rsidTr="004F407C">
        <w:trPr>
          <w:trHeight w:val="300"/>
        </w:trPr>
        <w:tc>
          <w:tcPr>
            <w:tcW w:w="2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9E15F3" w14:textId="77777777" w:rsidR="00E46340" w:rsidRDefault="00E46340" w:rsidP="00E46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7.1.3</w:t>
            </w:r>
          </w:p>
        </w:tc>
        <w:tc>
          <w:tcPr>
            <w:tcW w:w="2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CC558" w14:textId="77777777" w:rsidR="00E46340" w:rsidRDefault="00E46340" w:rsidP="00E46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BB868" w14:textId="77777777" w:rsidR="00E46340" w:rsidRDefault="00E46340" w:rsidP="00E46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 x 595 x 10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0E35CA" w14:textId="77777777" w:rsidR="00E46340" w:rsidRDefault="00E46340" w:rsidP="00E463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6340" w14:paraId="15B99204" w14:textId="77777777" w:rsidTr="004F407C">
        <w:trPr>
          <w:trHeight w:val="300"/>
        </w:trPr>
        <w:tc>
          <w:tcPr>
            <w:tcW w:w="2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15B9BD" w14:textId="77777777" w:rsidR="00E46340" w:rsidRDefault="00E46340" w:rsidP="00E46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7.1.3</w:t>
            </w:r>
          </w:p>
        </w:tc>
        <w:tc>
          <w:tcPr>
            <w:tcW w:w="2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834973" w14:textId="77777777" w:rsidR="00E46340" w:rsidRDefault="00E46340" w:rsidP="00E46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A586B0" w14:textId="77777777" w:rsidR="00E46340" w:rsidRDefault="00E46340" w:rsidP="00E46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 x 595 x 10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2CD379" w14:textId="77777777" w:rsidR="00E46340" w:rsidRDefault="00E46340" w:rsidP="00E4634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6340" w14:paraId="66F2F0D2" w14:textId="77777777" w:rsidTr="004F407C">
        <w:trPr>
          <w:trHeight w:val="315"/>
        </w:trPr>
        <w:tc>
          <w:tcPr>
            <w:tcW w:w="2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235AC1" w14:textId="77777777" w:rsidR="00E46340" w:rsidRDefault="00E46340" w:rsidP="00E46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7.1.3</w:t>
            </w:r>
          </w:p>
        </w:tc>
        <w:tc>
          <w:tcPr>
            <w:tcW w:w="21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D5389" w14:textId="77777777" w:rsidR="00E46340" w:rsidRDefault="00E46340" w:rsidP="00E46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5A9C2B" w14:textId="77777777" w:rsidR="00E46340" w:rsidRDefault="00E46340" w:rsidP="00E46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 x 625 x 15</w:t>
            </w:r>
          </w:p>
        </w:tc>
        <w:tc>
          <w:tcPr>
            <w:tcW w:w="17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5D898" w14:textId="77777777" w:rsidR="00E46340" w:rsidRDefault="00E46340" w:rsidP="00E46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šatňa ženy B01</w:t>
            </w:r>
          </w:p>
        </w:tc>
      </w:tr>
      <w:bookmarkEnd w:id="1"/>
    </w:tbl>
    <w:p w14:paraId="61BAFE60" w14:textId="77777777" w:rsidR="0044539B" w:rsidRPr="00AF236C" w:rsidRDefault="0044539B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6796155" w14:textId="77777777" w:rsidR="00E46340" w:rsidRPr="000F3765" w:rsidRDefault="00E46340" w:rsidP="00E46340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F3765">
        <w:rPr>
          <w:rFonts w:ascii="Arial" w:eastAsia="Times New Roman" w:hAnsi="Arial" w:cs="Arial"/>
          <w:color w:val="000000"/>
          <w:sz w:val="20"/>
          <w:szCs w:val="20"/>
        </w:rPr>
        <w:t xml:space="preserve">Na základe uvedenej otázky došlo zároveň k úprave informácii v Prílohe č. 1 Opis predmetu zákazky.  </w:t>
      </w:r>
    </w:p>
    <w:p w14:paraId="5DBD8D47" w14:textId="77777777" w:rsidR="0044539B" w:rsidRPr="00AF236C" w:rsidRDefault="0044539B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BE1C5EB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26:  </w:t>
      </w:r>
      <w:r w:rsidRPr="00AF236C">
        <w:rPr>
          <w:rFonts w:ascii="Arial" w:hAnsi="Arial" w:cs="Arial"/>
          <w:sz w:val="20"/>
          <w:szCs w:val="20"/>
        </w:rPr>
        <w:t>V technickej správe Administratíva 7.1.3, bod 4.1. je napísané, že: „Existujúce osvetlenie haly je riešené....“, jedná sa o „preklep“ alebo je tam aj takáto nejaká časť?</w:t>
      </w:r>
    </w:p>
    <w:p w14:paraId="2F729C24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</w:p>
    <w:p w14:paraId="5ADCEDC3" w14:textId="77777777" w:rsidR="0044539B" w:rsidRPr="004F407C" w:rsidRDefault="0044539B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>Odpoveď č. 26:</w:t>
      </w:r>
      <w:r w:rsidR="00AE1947">
        <w:rPr>
          <w:rFonts w:ascii="Arial" w:hAnsi="Arial" w:cs="Arial"/>
          <w:b/>
          <w:bCs/>
          <w:sz w:val="20"/>
          <w:szCs w:val="20"/>
        </w:rPr>
        <w:t xml:space="preserve"> </w:t>
      </w:r>
      <w:r w:rsidR="00AE1947" w:rsidRPr="004F407C">
        <w:rPr>
          <w:rFonts w:ascii="Arial" w:hAnsi="Arial" w:cs="Arial"/>
          <w:sz w:val="20"/>
          <w:szCs w:val="20"/>
        </w:rPr>
        <w:t>Jedná sa o preklep. Správne má byť uvedené ,,Existujúce osvetlenie je riešené...“</w:t>
      </w:r>
    </w:p>
    <w:p w14:paraId="689A4620" w14:textId="77777777" w:rsidR="0044539B" w:rsidRPr="00AF236C" w:rsidRDefault="0044539B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7F49D94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27:  </w:t>
      </w:r>
      <w:r w:rsidRPr="00AF236C">
        <w:rPr>
          <w:rFonts w:ascii="Arial" w:hAnsi="Arial" w:cs="Arial"/>
          <w:sz w:val="20"/>
          <w:szCs w:val="20"/>
        </w:rPr>
        <w:t>Aj napriek tomu, že to nie je predmetom dodanej projektovej dokumentácie a robí sa plošná rekonštrukcia osvetlenia. Nebolo by vhodné do priestorov ako šatne, toalety, sprchy a chodby nainštalovať aspoň nezávislé senzory pohybu?</w:t>
      </w:r>
    </w:p>
    <w:p w14:paraId="4E4DFE79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</w:p>
    <w:p w14:paraId="1F76EC09" w14:textId="1FB4A305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>Odpoveď č. 27</w:t>
      </w:r>
      <w:r w:rsidR="00EF45C2">
        <w:rPr>
          <w:rFonts w:ascii="Arial" w:hAnsi="Arial" w:cs="Arial"/>
          <w:b/>
          <w:bCs/>
          <w:sz w:val="20"/>
          <w:szCs w:val="20"/>
        </w:rPr>
        <w:t xml:space="preserve">: </w:t>
      </w:r>
      <w:r w:rsidR="00EF45C2" w:rsidRPr="00EF45C2">
        <w:rPr>
          <w:rFonts w:ascii="Arial" w:hAnsi="Arial" w:cs="Arial"/>
          <w:sz w:val="20"/>
          <w:szCs w:val="20"/>
        </w:rPr>
        <w:t xml:space="preserve"> </w:t>
      </w:r>
      <w:r w:rsidR="00EF45C2" w:rsidRPr="00802281">
        <w:rPr>
          <w:rFonts w:ascii="Arial" w:hAnsi="Arial" w:cs="Arial"/>
          <w:sz w:val="20"/>
          <w:szCs w:val="20"/>
        </w:rPr>
        <w:t xml:space="preserve">Uchádzač je povinný sa riadiť iba </w:t>
      </w:r>
      <w:r w:rsidR="00EF45C2">
        <w:rPr>
          <w:rFonts w:ascii="Arial" w:hAnsi="Arial" w:cs="Arial"/>
          <w:sz w:val="20"/>
          <w:szCs w:val="20"/>
        </w:rPr>
        <w:t>rozsahom uvedeným v projektovej dokumentácii, ak to nie je uvedené v projektovej dokumentácii, uchádzač uvedený prvok nezahrnie do svojej ponuky.</w:t>
      </w:r>
    </w:p>
    <w:p w14:paraId="3049D58F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</w:p>
    <w:p w14:paraId="09D9F202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28:  </w:t>
      </w:r>
      <w:r w:rsidRPr="00AF236C">
        <w:rPr>
          <w:rFonts w:ascii="Arial" w:hAnsi="Arial" w:cs="Arial"/>
          <w:sz w:val="20"/>
          <w:szCs w:val="20"/>
        </w:rPr>
        <w:t>Má sa pre všetky stĺpy verejného osvetlenia uvažovať nominálna výška 9metrov? Nakoľko pri obhliadke a premeraní niektorých, nie všetky svietidlá boli presne v tejto výške.</w:t>
      </w:r>
    </w:p>
    <w:p w14:paraId="0925E7BC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</w:p>
    <w:p w14:paraId="0E37C2D5" w14:textId="77777777" w:rsidR="0044539B" w:rsidRPr="004F407C" w:rsidRDefault="0044539B" w:rsidP="00AF236C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AF236C">
        <w:rPr>
          <w:rFonts w:ascii="Arial" w:hAnsi="Arial" w:cs="Arial"/>
          <w:b/>
          <w:bCs/>
          <w:sz w:val="20"/>
          <w:szCs w:val="20"/>
        </w:rPr>
        <w:t>Odpoveď č. 28:</w:t>
      </w:r>
      <w:r w:rsidR="00AE1947">
        <w:rPr>
          <w:rFonts w:ascii="Arial" w:hAnsi="Arial" w:cs="Arial"/>
          <w:sz w:val="20"/>
          <w:szCs w:val="20"/>
        </w:rPr>
        <w:t xml:space="preserve"> Je možné predpokladať nominálnu výšku 9 metrov pre všetky stĺpy verejného osvetlenia.</w:t>
      </w:r>
    </w:p>
    <w:p w14:paraId="0C3A2D50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</w:p>
    <w:p w14:paraId="3B9D573C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29:  </w:t>
      </w:r>
      <w:r w:rsidRPr="00AF236C">
        <w:rPr>
          <w:rFonts w:ascii="Arial" w:hAnsi="Arial" w:cs="Arial"/>
          <w:sz w:val="20"/>
          <w:szCs w:val="20"/>
        </w:rPr>
        <w:t>Počas obhliadky bola zistená iná aktuálna orientácia (otočenie) svietidiel v porovnaní s výkresom “712_Hala B01-4_vc.pdf“. Ktorej orientácie je potrebné sa pri návrhu držať?</w:t>
      </w:r>
    </w:p>
    <w:p w14:paraId="1E28623B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</w:p>
    <w:p w14:paraId="54973461" w14:textId="510EB92E" w:rsidR="001141D9" w:rsidRPr="00AF236C" w:rsidRDefault="0044539B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>Odpoveď č. 29:</w:t>
      </w:r>
      <w:r w:rsidR="00266CB1">
        <w:rPr>
          <w:rFonts w:ascii="Arial" w:hAnsi="Arial" w:cs="Arial"/>
          <w:b/>
          <w:bCs/>
          <w:sz w:val="20"/>
          <w:szCs w:val="20"/>
        </w:rPr>
        <w:t xml:space="preserve"> </w:t>
      </w:r>
      <w:r w:rsidR="00EF45C2" w:rsidRPr="00802281">
        <w:rPr>
          <w:rFonts w:ascii="Arial" w:hAnsi="Arial" w:cs="Arial"/>
          <w:sz w:val="20"/>
          <w:szCs w:val="20"/>
        </w:rPr>
        <w:t xml:space="preserve">Uchádzač je povinný sa riadiť </w:t>
      </w:r>
      <w:r w:rsidR="00EF45C2">
        <w:rPr>
          <w:rFonts w:ascii="Arial" w:hAnsi="Arial" w:cs="Arial"/>
          <w:sz w:val="20"/>
          <w:szCs w:val="20"/>
        </w:rPr>
        <w:t>rozsahom a informáciami uvedenými v projektovej dokumentácii, platí orientácia uvedená v projektovej dokumentácii.</w:t>
      </w:r>
    </w:p>
    <w:p w14:paraId="47C13CF6" w14:textId="77777777" w:rsidR="001141D9" w:rsidRPr="00AF236C" w:rsidRDefault="001141D9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4C8D65" w14:textId="77777777" w:rsidR="001141D9" w:rsidRPr="00AF236C" w:rsidRDefault="001141D9" w:rsidP="00AF236C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30:  </w:t>
      </w:r>
      <w:r w:rsidRPr="00AF236C">
        <w:rPr>
          <w:rFonts w:ascii="Arial" w:hAnsi="Arial" w:cs="Arial"/>
          <w:sz w:val="20"/>
          <w:szCs w:val="20"/>
        </w:rPr>
        <w:t>Systém riadenia Helvar, ktorý je navrhnutý v projektovej dokumentácii nie je navrhnutý správne (príliš veľa komponentov na dátovej zbernici DALI, projektant to nesprávne spočítal) a bude tam teda potrebné pridanie ďalších komponentov riadenia. Je to v rámci výkazu/výmeru možné?</w:t>
      </w:r>
    </w:p>
    <w:p w14:paraId="22D94857" w14:textId="77777777" w:rsidR="001141D9" w:rsidRPr="00AF236C" w:rsidRDefault="001141D9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4B8F39F" w14:textId="5FCE9899" w:rsidR="001141D9" w:rsidRPr="00AF236C" w:rsidRDefault="001141D9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>Odpoveď č. 30:</w:t>
      </w:r>
      <w:r w:rsidR="00266CB1">
        <w:rPr>
          <w:rFonts w:ascii="Arial" w:hAnsi="Arial" w:cs="Arial"/>
          <w:b/>
          <w:bCs/>
          <w:sz w:val="20"/>
          <w:szCs w:val="20"/>
        </w:rPr>
        <w:t xml:space="preserve"> </w:t>
      </w:r>
      <w:r w:rsidR="00C01D46">
        <w:rPr>
          <w:rFonts w:ascii="Arial" w:hAnsi="Arial" w:cs="Arial"/>
          <w:sz w:val="20"/>
          <w:szCs w:val="20"/>
        </w:rPr>
        <w:t xml:space="preserve">Uchádzač necení rozsah ako je uvedené v projektovej dokumentácii. </w:t>
      </w:r>
    </w:p>
    <w:p w14:paraId="2CE5E459" w14:textId="77777777" w:rsidR="001141D9" w:rsidRPr="00AF236C" w:rsidRDefault="001141D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A75FD95" w14:textId="77777777" w:rsidR="001141D9" w:rsidRPr="00AF236C" w:rsidRDefault="001141D9">
      <w:pPr>
        <w:jc w:val="both"/>
        <w:rPr>
          <w:rFonts w:ascii="Arial" w:hAnsi="Arial" w:cs="Arial"/>
          <w:sz w:val="20"/>
          <w:szCs w:val="20"/>
        </w:rPr>
      </w:pPr>
      <w:r w:rsidRPr="00AF236C">
        <w:rPr>
          <w:rFonts w:ascii="Arial" w:hAnsi="Arial" w:cs="Arial"/>
          <w:b/>
          <w:bCs/>
          <w:sz w:val="20"/>
          <w:szCs w:val="20"/>
        </w:rPr>
        <w:t xml:space="preserve">Otázka č. 31:  </w:t>
      </w:r>
      <w:r w:rsidRPr="00AF236C">
        <w:rPr>
          <w:rFonts w:ascii="Arial" w:hAnsi="Arial" w:cs="Arial"/>
          <w:sz w:val="20"/>
          <w:szCs w:val="20"/>
        </w:rPr>
        <w:t>V dokumente „Opis predmetu zákazky“ je spomínané: „Moderné riadiace systémy zároveň umožňujú sledovanie informácií o aktuálnej spotrebe elektrickej energie .....“. Je potrebné teda uvažovať aj s takouto vizualizáciou, resp. zrealizovaním samotného merania?</w:t>
      </w:r>
    </w:p>
    <w:p w14:paraId="6B8DE909" w14:textId="77777777" w:rsidR="001141D9" w:rsidRPr="00266CB1" w:rsidRDefault="001141D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31E90B" w14:textId="5853037E" w:rsidR="001141D9" w:rsidRPr="00266CB1" w:rsidRDefault="001141D9">
      <w:pPr>
        <w:jc w:val="both"/>
        <w:rPr>
          <w:rFonts w:ascii="Arial" w:hAnsi="Arial" w:cs="Arial"/>
          <w:sz w:val="20"/>
          <w:szCs w:val="20"/>
        </w:rPr>
      </w:pPr>
      <w:r w:rsidRPr="00266CB1">
        <w:rPr>
          <w:rFonts w:ascii="Arial" w:hAnsi="Arial" w:cs="Arial"/>
          <w:b/>
          <w:bCs/>
          <w:sz w:val="20"/>
          <w:szCs w:val="20"/>
        </w:rPr>
        <w:t>Odpoveď č. 31:</w:t>
      </w:r>
      <w:r w:rsidR="00266CB1" w:rsidRPr="00266CB1">
        <w:rPr>
          <w:rFonts w:ascii="Arial" w:hAnsi="Arial" w:cs="Arial"/>
          <w:sz w:val="20"/>
          <w:szCs w:val="20"/>
        </w:rPr>
        <w:t xml:space="preserve"> </w:t>
      </w:r>
      <w:r w:rsidR="00E222FD">
        <w:rPr>
          <w:rFonts w:ascii="Arial" w:hAnsi="Arial" w:cs="Arial"/>
          <w:sz w:val="20"/>
          <w:szCs w:val="20"/>
        </w:rPr>
        <w:t>Meranie sa nevyžaduje, u</w:t>
      </w:r>
      <w:r w:rsidR="00266CB1" w:rsidRPr="00266CB1">
        <w:rPr>
          <w:rFonts w:ascii="Arial" w:hAnsi="Arial" w:cs="Arial"/>
          <w:sz w:val="20"/>
          <w:szCs w:val="20"/>
        </w:rPr>
        <w:t>chádzač je povinný sa riadiť iba rozsahom uvedeným v projektovej dokumentácii.</w:t>
      </w:r>
    </w:p>
    <w:p w14:paraId="1BC61EB2" w14:textId="77777777" w:rsidR="00266CB1" w:rsidRPr="00266CB1" w:rsidRDefault="00266CB1">
      <w:pPr>
        <w:jc w:val="both"/>
        <w:rPr>
          <w:rFonts w:ascii="Arial" w:hAnsi="Arial" w:cs="Arial"/>
          <w:sz w:val="20"/>
          <w:szCs w:val="20"/>
        </w:rPr>
      </w:pPr>
    </w:p>
    <w:p w14:paraId="1A944205" w14:textId="77777777" w:rsidR="00266CB1" w:rsidRPr="004F407C" w:rsidRDefault="00266CB1" w:rsidP="004F407C">
      <w:pPr>
        <w:jc w:val="both"/>
        <w:rPr>
          <w:rFonts w:ascii="Arial" w:hAnsi="Arial" w:cs="Arial"/>
          <w:sz w:val="20"/>
          <w:szCs w:val="20"/>
        </w:rPr>
      </w:pPr>
      <w:r w:rsidRPr="004F407C">
        <w:rPr>
          <w:rFonts w:ascii="Arial" w:hAnsi="Arial" w:cs="Arial"/>
          <w:b/>
          <w:bCs/>
          <w:sz w:val="20"/>
          <w:szCs w:val="20"/>
        </w:rPr>
        <w:t xml:space="preserve">Otázka č. 32:  </w:t>
      </w:r>
      <w:r w:rsidRPr="004F407C">
        <w:rPr>
          <w:rFonts w:ascii="Arial" w:hAnsi="Arial" w:cs="Arial"/>
          <w:sz w:val="20"/>
          <w:szCs w:val="20"/>
        </w:rPr>
        <w:t>V akom IP krytí je existujúca svetelná sústava? Poprosíme identifikovať výrobcu/typ existujúcich stropných svietidiel.</w:t>
      </w:r>
    </w:p>
    <w:p w14:paraId="44B58BDD" w14:textId="77777777" w:rsidR="00266CB1" w:rsidRPr="004F407C" w:rsidRDefault="00266CB1" w:rsidP="004F407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04BBEF" w14:textId="0204202C" w:rsidR="0091777D" w:rsidRPr="00802281" w:rsidRDefault="00266CB1" w:rsidP="0091777D">
      <w:pPr>
        <w:jc w:val="both"/>
        <w:rPr>
          <w:rFonts w:ascii="Arial" w:hAnsi="Arial" w:cs="Arial"/>
          <w:sz w:val="20"/>
          <w:szCs w:val="20"/>
        </w:rPr>
      </w:pPr>
      <w:r w:rsidRPr="004F407C">
        <w:rPr>
          <w:rFonts w:ascii="Arial" w:hAnsi="Arial" w:cs="Arial"/>
          <w:b/>
          <w:bCs/>
          <w:sz w:val="20"/>
          <w:szCs w:val="20"/>
        </w:rPr>
        <w:t>Odpoveď č.32:</w:t>
      </w:r>
      <w:r w:rsidR="0091777D">
        <w:rPr>
          <w:rFonts w:ascii="Arial" w:hAnsi="Arial" w:cs="Arial"/>
          <w:b/>
          <w:bCs/>
          <w:sz w:val="20"/>
          <w:szCs w:val="20"/>
        </w:rPr>
        <w:t xml:space="preserve"> </w:t>
      </w:r>
      <w:r w:rsidR="0091777D" w:rsidRPr="004F407C">
        <w:rPr>
          <w:rFonts w:ascii="Arial" w:hAnsi="Arial" w:cs="Arial"/>
          <w:sz w:val="20"/>
          <w:szCs w:val="20"/>
        </w:rPr>
        <w:t xml:space="preserve">Nazdávame sa, že uvedená požiadavka uchádzača nie je pre vypracovanie ponuky dôležitá, nakoľko existujúce osvetlenie bude v celom rozsahu demontované a požiadavky na IP krytie nového osvetlenia je v súťažných pokladoch zadefinované. </w:t>
      </w:r>
      <w:r w:rsidR="00E46340" w:rsidRPr="004F407C">
        <w:rPr>
          <w:rFonts w:ascii="Arial" w:hAnsi="Arial" w:cs="Arial"/>
          <w:sz w:val="20"/>
          <w:szCs w:val="20"/>
        </w:rPr>
        <w:t>Viď. tiež Vysvetlenie 2 z 28.10.2020, otázka č. 4.</w:t>
      </w:r>
    </w:p>
    <w:p w14:paraId="03C37328" w14:textId="16AAB3BE" w:rsidR="00266CB1" w:rsidRPr="004F407C" w:rsidRDefault="00266CB1" w:rsidP="004F407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C89D943" w14:textId="75964BBE" w:rsidR="00266CB1" w:rsidRDefault="00266CB1">
      <w:pPr>
        <w:jc w:val="both"/>
        <w:rPr>
          <w:rFonts w:ascii="Arial" w:hAnsi="Arial" w:cs="Arial"/>
          <w:sz w:val="20"/>
          <w:szCs w:val="20"/>
        </w:rPr>
      </w:pPr>
      <w:r w:rsidRPr="004F407C">
        <w:rPr>
          <w:rFonts w:ascii="Arial" w:hAnsi="Arial" w:cs="Arial"/>
          <w:b/>
          <w:bCs/>
          <w:sz w:val="20"/>
          <w:szCs w:val="20"/>
        </w:rPr>
        <w:t>Otázka č. 33</w:t>
      </w:r>
      <w:r w:rsidRPr="004F407C">
        <w:rPr>
          <w:rFonts w:ascii="Arial" w:hAnsi="Arial" w:cs="Arial"/>
          <w:sz w:val="20"/>
          <w:szCs w:val="20"/>
        </w:rPr>
        <w:t xml:space="preserve">:  Bolo by možné využiť existujúcu infraštruktúru mysliac koľajnicový systém existujúcej svetelnej sústavy? </w:t>
      </w:r>
    </w:p>
    <w:p w14:paraId="21E4B994" w14:textId="77777777" w:rsidR="00741395" w:rsidRPr="004F407C" w:rsidRDefault="00741395" w:rsidP="004F407C">
      <w:pPr>
        <w:jc w:val="both"/>
        <w:rPr>
          <w:rFonts w:ascii="Arial" w:hAnsi="Arial" w:cs="Arial"/>
          <w:sz w:val="20"/>
          <w:szCs w:val="20"/>
        </w:rPr>
      </w:pPr>
    </w:p>
    <w:p w14:paraId="7F60E396" w14:textId="4E6AD0FA" w:rsidR="00266CB1" w:rsidRPr="004F407C" w:rsidRDefault="00266CB1" w:rsidP="004F407C">
      <w:pPr>
        <w:jc w:val="both"/>
        <w:rPr>
          <w:rFonts w:ascii="Arial" w:hAnsi="Arial" w:cs="Arial"/>
          <w:sz w:val="20"/>
          <w:szCs w:val="20"/>
        </w:rPr>
      </w:pPr>
      <w:r w:rsidRPr="004F407C">
        <w:rPr>
          <w:rFonts w:ascii="Arial" w:hAnsi="Arial" w:cs="Arial"/>
          <w:b/>
          <w:bCs/>
          <w:sz w:val="20"/>
          <w:szCs w:val="20"/>
        </w:rPr>
        <w:t xml:space="preserve">Odpoveď č. 33: </w:t>
      </w:r>
      <w:r w:rsidR="00E46340" w:rsidRPr="004F407C">
        <w:rPr>
          <w:rFonts w:ascii="Arial" w:hAnsi="Arial" w:cs="Arial"/>
          <w:sz w:val="20"/>
          <w:szCs w:val="20"/>
        </w:rPr>
        <w:t>Nie, u</w:t>
      </w:r>
      <w:r w:rsidR="00741395" w:rsidRPr="004F407C">
        <w:rPr>
          <w:rFonts w:ascii="Arial" w:hAnsi="Arial" w:cs="Arial"/>
          <w:sz w:val="20"/>
          <w:szCs w:val="20"/>
        </w:rPr>
        <w:t xml:space="preserve">chádzač </w:t>
      </w:r>
      <w:r w:rsidR="0091777D" w:rsidRPr="004F407C">
        <w:rPr>
          <w:rFonts w:ascii="Arial" w:hAnsi="Arial" w:cs="Arial"/>
          <w:sz w:val="20"/>
          <w:szCs w:val="20"/>
        </w:rPr>
        <w:t>je povinný sa riadiť rozsahom uvedeným v projektovej dokumentácii. Uvedený systém bude úplne vymenený.</w:t>
      </w:r>
    </w:p>
    <w:p w14:paraId="65A96606" w14:textId="77777777" w:rsidR="00266CB1" w:rsidRPr="004F407C" w:rsidRDefault="00266CB1" w:rsidP="004F407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EBBE433" w14:textId="77777777" w:rsidR="00266CB1" w:rsidRPr="00266CB1" w:rsidRDefault="00266CB1" w:rsidP="004F407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F407C">
        <w:rPr>
          <w:rFonts w:ascii="Arial" w:hAnsi="Arial" w:cs="Arial"/>
          <w:b/>
          <w:bCs/>
          <w:sz w:val="20"/>
          <w:szCs w:val="20"/>
        </w:rPr>
        <w:t xml:space="preserve">Otázka č. 34: </w:t>
      </w:r>
      <w:r w:rsidRPr="00266CB1">
        <w:rPr>
          <w:rFonts w:ascii="Arial" w:eastAsia="Times New Roman" w:hAnsi="Arial" w:cs="Arial"/>
          <w:color w:val="000000"/>
          <w:sz w:val="20"/>
          <w:szCs w:val="20"/>
        </w:rPr>
        <w:t xml:space="preserve">Dávam pripomienku ku zabezpečeniu odovzdania súťažných dokumentov predmetnej výzvy. Nakoľko je v prípade variantnej verzie nutné dodať aj "surové" výpočtové súbory, pdf výpočty svetelno technického návrhu, je potreba zabezpečiť z Vašej strany prístup na nahratie súborov s veľkosťou +- 100MB pre každého uchádzača. Mailovou formou takéto odovzdanie nebude možné ani čiastkovo. </w:t>
      </w:r>
    </w:p>
    <w:p w14:paraId="792E4134" w14:textId="77777777" w:rsidR="00266CB1" w:rsidRPr="004F407C" w:rsidRDefault="00266CB1" w:rsidP="00266CB1">
      <w:pPr>
        <w:rPr>
          <w:rFonts w:ascii="Arial" w:hAnsi="Arial" w:cs="Arial"/>
          <w:b/>
          <w:bCs/>
          <w:sz w:val="20"/>
          <w:szCs w:val="20"/>
        </w:rPr>
      </w:pPr>
    </w:p>
    <w:p w14:paraId="7E886F6F" w14:textId="49EA106C" w:rsidR="00266CB1" w:rsidRDefault="00266CB1" w:rsidP="00266CB1">
      <w:pPr>
        <w:rPr>
          <w:rFonts w:ascii="Arial" w:hAnsi="Arial" w:cs="Arial"/>
          <w:b/>
          <w:bCs/>
          <w:sz w:val="20"/>
          <w:szCs w:val="20"/>
        </w:rPr>
      </w:pPr>
      <w:r w:rsidRPr="004F407C">
        <w:rPr>
          <w:rFonts w:ascii="Arial" w:hAnsi="Arial" w:cs="Arial"/>
          <w:b/>
          <w:bCs/>
          <w:sz w:val="20"/>
          <w:szCs w:val="20"/>
        </w:rPr>
        <w:t xml:space="preserve">Odpoveď č. 34:  </w:t>
      </w:r>
    </w:p>
    <w:p w14:paraId="34AC4435" w14:textId="48A05018" w:rsidR="000F366B" w:rsidRDefault="00C86D22" w:rsidP="00C86D22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Predpokladáme, že súbory typu .pdf a .xls by mali prostredníctvom emailu prejsť štandardne</w:t>
      </w:r>
      <w:r w:rsidR="000F366B">
        <w:rPr>
          <w:rFonts w:ascii="Arial" w:eastAsia="Times New Roman" w:hAnsi="Arial" w:cs="Arial"/>
          <w:color w:val="000000"/>
          <w:sz w:val="20"/>
          <w:szCs w:val="20"/>
        </w:rPr>
        <w:t xml:space="preserve"> ako jedna alebo viac správ.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Limit vyhlasovateľa pre jednu emailovú správu je </w:t>
      </w:r>
      <w:r w:rsidR="000F4FB9">
        <w:rPr>
          <w:rFonts w:ascii="Arial" w:eastAsia="Times New Roman" w:hAnsi="Arial" w:cs="Arial"/>
          <w:color w:val="000000"/>
          <w:sz w:val="20"/>
          <w:szCs w:val="20"/>
        </w:rPr>
        <w:t>15</w:t>
      </w:r>
      <w:bookmarkStart w:id="2" w:name="_GoBack"/>
      <w:bookmarkEnd w:id="2"/>
      <w:r>
        <w:rPr>
          <w:rFonts w:ascii="Arial" w:eastAsia="Times New Roman" w:hAnsi="Arial" w:cs="Arial"/>
          <w:color w:val="000000"/>
          <w:sz w:val="20"/>
          <w:szCs w:val="20"/>
        </w:rPr>
        <w:t xml:space="preserve"> MB. </w:t>
      </w:r>
    </w:p>
    <w:p w14:paraId="1F1B8A78" w14:textId="6D59FD5B" w:rsidR="00C86D22" w:rsidRDefault="004B16FD" w:rsidP="00C86D22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>úbory</w:t>
      </w:r>
      <w:r>
        <w:rPr>
          <w:rFonts w:ascii="Arial" w:hAnsi="Arial" w:cs="Arial"/>
          <w:color w:val="000000"/>
          <w:sz w:val="20"/>
        </w:rPr>
        <w:t>/dáta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</w:rPr>
        <w:t>formátu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najmä</w:t>
      </w:r>
      <w:r w:rsidR="00C86D22">
        <w:rPr>
          <w:rFonts w:ascii="Arial" w:eastAsia="Times New Roman" w:hAnsi="Arial" w:cs="Arial"/>
          <w:color w:val="000000"/>
          <w:sz w:val="20"/>
          <w:szCs w:val="20"/>
        </w:rPr>
        <w:t xml:space="preserve"> ELUMDAT  a DIALux, ktoré nie je možné v rozumnom rozsahu predložiť ako prílohu emailovej komunikácie, uchádzač </w:t>
      </w:r>
      <w:r w:rsidR="005C3F83">
        <w:rPr>
          <w:rFonts w:ascii="Arial" w:eastAsia="Times New Roman" w:hAnsi="Arial" w:cs="Arial"/>
          <w:color w:val="000000"/>
          <w:sz w:val="20"/>
          <w:szCs w:val="20"/>
        </w:rPr>
        <w:t>predloží na CD alebo USB kľúči</w:t>
      </w:r>
      <w:r w:rsidR="00C86D2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270CB92D" w14:textId="77777777" w:rsidR="00E37538" w:rsidRDefault="00E37538" w:rsidP="00C86D22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7B6113B" w14:textId="7558843E" w:rsidR="00E37538" w:rsidRDefault="004B16FD" w:rsidP="00E3753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E37538" w:rsidRPr="00E9232B">
        <w:rPr>
          <w:rFonts w:ascii="Arial" w:eastAsia="Times New Roman" w:hAnsi="Arial" w:cs="Arial"/>
          <w:color w:val="000000"/>
          <w:sz w:val="20"/>
          <w:szCs w:val="20"/>
        </w:rPr>
        <w:t>oštovou zásielkou v uzavretom obale s označením „Osvetlenie - PONUKA“</w:t>
      </w:r>
      <w:r w:rsidR="005C3F83">
        <w:rPr>
          <w:rFonts w:ascii="Arial" w:eastAsia="Times New Roman" w:hAnsi="Arial" w:cs="Arial"/>
          <w:color w:val="000000"/>
          <w:sz w:val="20"/>
          <w:szCs w:val="20"/>
        </w:rPr>
        <w:t xml:space="preserve"> alebo</w:t>
      </w:r>
    </w:p>
    <w:p w14:paraId="2FE9DDE1" w14:textId="34FB47BE" w:rsidR="00E37538" w:rsidRDefault="004B16FD" w:rsidP="00E37538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E37538">
        <w:rPr>
          <w:rFonts w:ascii="Arial" w:eastAsia="Times New Roman" w:hAnsi="Arial" w:cs="Arial"/>
          <w:color w:val="000000"/>
          <w:sz w:val="20"/>
          <w:szCs w:val="20"/>
        </w:rPr>
        <w:t xml:space="preserve">sobne </w:t>
      </w:r>
      <w:r w:rsidR="00E37538" w:rsidRPr="00E9232B">
        <w:rPr>
          <w:rFonts w:ascii="Arial" w:eastAsia="Times New Roman" w:hAnsi="Arial" w:cs="Arial"/>
          <w:color w:val="000000"/>
          <w:sz w:val="20"/>
          <w:szCs w:val="20"/>
        </w:rPr>
        <w:t>v uzavretom obale s označením „Osvetlenie - PONUKA“</w:t>
      </w:r>
    </w:p>
    <w:p w14:paraId="67C8F7AC" w14:textId="64EE5581" w:rsidR="005C3F83" w:rsidRDefault="00E37538" w:rsidP="005C3F8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 adresu uvedenú v bode 1.  Výzv</w:t>
      </w:r>
      <w:r w:rsidR="001859C4">
        <w:rPr>
          <w:rFonts w:ascii="Arial" w:eastAsia="Times New Roman" w:hAnsi="Arial" w:cs="Arial"/>
          <w:color w:val="000000"/>
          <w:sz w:val="20"/>
          <w:szCs w:val="20"/>
        </w:rPr>
        <w:t xml:space="preserve">y a v lehote </w:t>
      </w:r>
      <w:r w:rsidR="001859C4" w:rsidRPr="000F366B">
        <w:rPr>
          <w:rFonts w:ascii="Arial" w:eastAsia="Times New Roman" w:hAnsi="Arial" w:cs="Arial"/>
          <w:color w:val="000000"/>
          <w:sz w:val="20"/>
          <w:szCs w:val="20"/>
        </w:rPr>
        <w:t>uveden</w:t>
      </w:r>
      <w:r w:rsidR="001859C4">
        <w:rPr>
          <w:rFonts w:ascii="Arial" w:eastAsia="Times New Roman" w:hAnsi="Arial" w:cs="Arial"/>
          <w:color w:val="000000"/>
          <w:sz w:val="20"/>
          <w:szCs w:val="20"/>
        </w:rPr>
        <w:t>ej</w:t>
      </w:r>
      <w:r w:rsidR="001859C4" w:rsidRPr="000F366B">
        <w:rPr>
          <w:rFonts w:ascii="Arial" w:eastAsia="Times New Roman" w:hAnsi="Arial" w:cs="Arial"/>
          <w:color w:val="000000"/>
          <w:sz w:val="20"/>
          <w:szCs w:val="20"/>
        </w:rPr>
        <w:t xml:space="preserve"> v bode </w:t>
      </w:r>
      <w:r w:rsidR="001859C4">
        <w:rPr>
          <w:rFonts w:ascii="Arial" w:eastAsia="Times New Roman" w:hAnsi="Arial" w:cs="Arial"/>
          <w:color w:val="000000"/>
          <w:sz w:val="20"/>
          <w:szCs w:val="20"/>
        </w:rPr>
        <w:t>11. Výzvy.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6533432" w14:textId="77777777" w:rsidR="005C3F83" w:rsidRDefault="005C3F83" w:rsidP="000F366B">
      <w:pPr>
        <w:ind w:left="709" w:hanging="1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0CA8351" w14:textId="10D7077E" w:rsidR="00E37538" w:rsidRDefault="00E37538" w:rsidP="005C3F8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V </w:t>
      </w:r>
      <w:r w:rsidR="000F366B">
        <w:rPr>
          <w:rFonts w:ascii="Arial" w:eastAsia="Times New Roman" w:hAnsi="Arial" w:cs="Arial"/>
          <w:color w:val="000000"/>
          <w:sz w:val="20"/>
          <w:szCs w:val="20"/>
        </w:rPr>
        <w:t>prípade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poštovej zásielky je rozhodujúcim dátumom</w:t>
      </w:r>
      <w:r w:rsidR="000F366B">
        <w:rPr>
          <w:rFonts w:ascii="Arial" w:eastAsia="Times New Roman" w:hAnsi="Arial" w:cs="Arial"/>
          <w:color w:val="000000"/>
          <w:sz w:val="20"/>
          <w:szCs w:val="20"/>
        </w:rPr>
        <w:t xml:space="preserve"> a časom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pre splnenie lehoty na predkladanie ponúk dátum</w:t>
      </w:r>
      <w:r w:rsidR="005C3F83">
        <w:rPr>
          <w:rFonts w:ascii="Arial" w:eastAsia="Times New Roman" w:hAnsi="Arial" w:cs="Arial"/>
          <w:color w:val="000000"/>
          <w:sz w:val="20"/>
          <w:szCs w:val="20"/>
        </w:rPr>
        <w:t xml:space="preserve"> a čas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podania zásielky na poštovú prepravu. </w:t>
      </w:r>
    </w:p>
    <w:p w14:paraId="24472A97" w14:textId="77777777" w:rsidR="003B7F46" w:rsidRDefault="003B7F46" w:rsidP="005C3F8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8225425" w14:textId="118082D8" w:rsidR="003B7F46" w:rsidRPr="000F3765" w:rsidRDefault="003B7F46" w:rsidP="003B7F46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F3765">
        <w:rPr>
          <w:rFonts w:ascii="Arial" w:eastAsia="Times New Roman" w:hAnsi="Arial" w:cs="Arial"/>
          <w:color w:val="000000"/>
          <w:sz w:val="20"/>
          <w:szCs w:val="20"/>
        </w:rPr>
        <w:t>Na základe uvedenej otázky došlo zároveň k úprave informácii v</w:t>
      </w:r>
      <w:r>
        <w:rPr>
          <w:rFonts w:ascii="Arial" w:eastAsia="Times New Roman" w:hAnsi="Arial" w:cs="Arial"/>
          <w:color w:val="000000"/>
          <w:sz w:val="20"/>
          <w:szCs w:val="20"/>
        </w:rPr>
        <w:t>o Výzve.</w:t>
      </w:r>
      <w:r w:rsidRPr="000F37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D9354A1" w14:textId="77777777" w:rsidR="003B7F46" w:rsidRPr="000F366B" w:rsidRDefault="003B7F46" w:rsidP="005C3F83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06DBCF8" w14:textId="1C4E7022" w:rsidR="00C86D22" w:rsidRPr="000F366B" w:rsidRDefault="00C86D22" w:rsidP="00E37538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F36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327E5CA" w14:textId="77777777" w:rsidR="00266CB1" w:rsidRPr="00266CB1" w:rsidRDefault="00266CB1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A768F3" w14:textId="77777777" w:rsidR="001141D9" w:rsidRPr="00266CB1" w:rsidRDefault="001141D9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D7201B3" w14:textId="77777777" w:rsidR="001141D9" w:rsidRPr="00266CB1" w:rsidRDefault="001141D9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B81E8D" w14:textId="77777777" w:rsidR="001141D9" w:rsidRPr="00AF236C" w:rsidRDefault="001141D9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778B7B3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</w:p>
    <w:p w14:paraId="7D2C3BDE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</w:p>
    <w:p w14:paraId="2501BECB" w14:textId="77777777" w:rsidR="0044539B" w:rsidRPr="00AF236C" w:rsidRDefault="0044539B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1310F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</w:p>
    <w:p w14:paraId="7BC3F8F1" w14:textId="77777777" w:rsidR="0044539B" w:rsidRPr="00AF236C" w:rsidRDefault="0044539B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832365B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</w:p>
    <w:p w14:paraId="295BFDD4" w14:textId="77777777" w:rsidR="0044539B" w:rsidRPr="00AF236C" w:rsidRDefault="0044539B" w:rsidP="00AF236C">
      <w:pPr>
        <w:jc w:val="both"/>
        <w:rPr>
          <w:rFonts w:ascii="Arial" w:hAnsi="Arial" w:cs="Arial"/>
          <w:sz w:val="20"/>
          <w:szCs w:val="20"/>
        </w:rPr>
      </w:pPr>
    </w:p>
    <w:p w14:paraId="49256D68" w14:textId="77777777" w:rsidR="00E05E19" w:rsidRPr="00AF236C" w:rsidRDefault="00E05E19" w:rsidP="00AF236C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E05E19" w:rsidRPr="00AF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749"/>
    <w:multiLevelType w:val="hybridMultilevel"/>
    <w:tmpl w:val="EF0E6F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3328"/>
    <w:multiLevelType w:val="hybridMultilevel"/>
    <w:tmpl w:val="8F90FD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5532"/>
    <w:multiLevelType w:val="hybridMultilevel"/>
    <w:tmpl w:val="975292AE"/>
    <w:lvl w:ilvl="0" w:tplc="B8901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960B5"/>
    <w:multiLevelType w:val="hybridMultilevel"/>
    <w:tmpl w:val="2662F5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48"/>
    <w:rsid w:val="0000385D"/>
    <w:rsid w:val="000F366B"/>
    <w:rsid w:val="000F4FB9"/>
    <w:rsid w:val="0010333F"/>
    <w:rsid w:val="001141D9"/>
    <w:rsid w:val="001859C4"/>
    <w:rsid w:val="001C511B"/>
    <w:rsid w:val="001D77C9"/>
    <w:rsid w:val="00203AB1"/>
    <w:rsid w:val="002324E5"/>
    <w:rsid w:val="00266CB1"/>
    <w:rsid w:val="002E67EA"/>
    <w:rsid w:val="003044F4"/>
    <w:rsid w:val="0038074E"/>
    <w:rsid w:val="003B7F46"/>
    <w:rsid w:val="0044539B"/>
    <w:rsid w:val="004B16FD"/>
    <w:rsid w:val="004F407C"/>
    <w:rsid w:val="0053172A"/>
    <w:rsid w:val="0057531C"/>
    <w:rsid w:val="005C3F83"/>
    <w:rsid w:val="005E0B61"/>
    <w:rsid w:val="0069490F"/>
    <w:rsid w:val="006C4B93"/>
    <w:rsid w:val="006E74A9"/>
    <w:rsid w:val="006F2348"/>
    <w:rsid w:val="0072651A"/>
    <w:rsid w:val="00741395"/>
    <w:rsid w:val="00761F47"/>
    <w:rsid w:val="00797AA7"/>
    <w:rsid w:val="0091777D"/>
    <w:rsid w:val="009436AE"/>
    <w:rsid w:val="009869E3"/>
    <w:rsid w:val="00AE1947"/>
    <w:rsid w:val="00AF236C"/>
    <w:rsid w:val="00C01D46"/>
    <w:rsid w:val="00C86D22"/>
    <w:rsid w:val="00CA2913"/>
    <w:rsid w:val="00CD03BF"/>
    <w:rsid w:val="00D12A81"/>
    <w:rsid w:val="00D15BF2"/>
    <w:rsid w:val="00D97AF9"/>
    <w:rsid w:val="00E05E19"/>
    <w:rsid w:val="00E222FD"/>
    <w:rsid w:val="00E22622"/>
    <w:rsid w:val="00E31121"/>
    <w:rsid w:val="00E37538"/>
    <w:rsid w:val="00E46340"/>
    <w:rsid w:val="00EF45C2"/>
    <w:rsid w:val="00F8587E"/>
    <w:rsid w:val="00F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1F1F"/>
  <w15:chartTrackingRefBased/>
  <w15:docId w15:val="{13ABAA75-E5D5-4B2C-A3BF-DCA1A6A5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46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5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1F47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90F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6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7EA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7E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7EA"/>
    <w:rPr>
      <w:rFonts w:ascii="Calibri" w:hAnsi="Calibri" w:cs="Calibri"/>
      <w:b/>
      <w:bCs/>
      <w:sz w:val="20"/>
      <w:szCs w:val="20"/>
    </w:rPr>
  </w:style>
  <w:style w:type="character" w:customStyle="1" w:styleId="Predvolenpsmoodseku">
    <w:name w:val="Predvolené písmo odseku"/>
    <w:rsid w:val="00D97AF9"/>
  </w:style>
  <w:style w:type="paragraph" w:customStyle="1" w:styleId="Standard">
    <w:name w:val="Standard"/>
    <w:rsid w:val="006C4B9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styleId="Hyperlink">
    <w:name w:val="Hyperlink"/>
    <w:basedOn w:val="DefaultParagraphFont"/>
    <w:uiPriority w:val="99"/>
    <w:unhideWhenUsed/>
    <w:rsid w:val="00C86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A3544-B61E-44A2-8008-A84A2566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3180</Words>
  <Characters>18131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Orsulova, Zuzana</dc:creator>
  <cp:keywords/>
  <dc:description/>
  <cp:lastModifiedBy>Author 3</cp:lastModifiedBy>
  <cp:revision>11</cp:revision>
  <dcterms:created xsi:type="dcterms:W3CDTF">2020-11-03T07:51:00Z</dcterms:created>
  <dcterms:modified xsi:type="dcterms:W3CDTF">2020-11-03T10:04:00Z</dcterms:modified>
</cp:coreProperties>
</file>